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Override PartName="/word/_rels/document.xml.rels" ContentType="application/vnd.openxmlformats-package.relationships+xml"/>
  <Override PartName="/word/media/image1.png" ContentType="image/png"/>
  <Override PartName="/word/media/image2.jpeg" ContentType="image/jpeg"/>
  <Override PartName="/word/media/image3.jpeg" ContentType="image/jpeg"/>
  <Override PartName="/word/media/image8.jpeg" ContentType="image/jpeg"/>
  <Override PartName="/word/media/image5.png" ContentType="image/png"/>
  <Override PartName="/word/media/image4.png" ContentType="image/png"/>
  <Override PartName="/word/media/image6.jpeg" ContentType="image/jpeg"/>
  <Override PartName="/word/media/image10.jpeg" ContentType="image/jpeg"/>
  <Override PartName="/word/media/image7.jpeg" ContentType="image/jpeg"/>
  <Override PartName="/word/media/image11.jpeg" ContentType="image/jpeg"/>
  <Override PartName="/word/media/image12.jpeg" ContentType="image/jpeg"/>
  <Override PartName="/word/media/image9.jpeg" ContentType="image/jpeg"/>
  <Override PartName="/word/media/image13.jpeg" ContentType="image/jpeg"/>
  <Override PartName="/word/media/image14.jpeg" ContentType="image/jpeg"/>
  <Override PartName="/word/media/image15.jpeg" ContentType="image/jpeg"/>
  <Override PartName="/word/media/image16.jpeg" ContentType="image/jpeg"/>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spacing w:lineRule="auto" w:line="240"/>
        <w:jc w:val="start"/>
        <w:rPr>
          <w:b/>
          <w:bCs/>
          <w:color w:val="FF0000"/>
          <w:sz w:val="88"/>
          <w:szCs w:val="88"/>
        </w:rPr>
      </w:pPr>
      <w:r>
        <w:rPr>
          <w:b/>
          <w:bCs/>
          <w:color w:val="FF0000"/>
          <w:sz w:val="88"/>
          <w:szCs w:val="88"/>
        </w:rPr>
      </w:r>
    </w:p>
    <w:p>
      <w:pPr>
        <w:pStyle w:val="Normal"/>
        <w:bidi w:val="0"/>
        <w:spacing w:lineRule="auto" w:line="240"/>
        <w:jc w:val="start"/>
        <w:rPr>
          <w:b/>
          <w:bCs/>
          <w:color w:val="FF0000"/>
          <w:sz w:val="24"/>
          <w:szCs w:val="24"/>
        </w:rPr>
      </w:pPr>
      <w:r>
        <w:rPr>
          <w:b/>
          <w:bCs/>
          <w:color w:val="FF0000"/>
          <w:sz w:val="24"/>
          <w:szCs w:val="24"/>
        </w:rPr>
        <w:drawing>
          <wp:anchor behindDoc="0" distT="0" distB="0" distL="0" distR="0" simplePos="0" locked="0" layoutInCell="0" allowOverlap="1" relativeHeight="22">
            <wp:simplePos x="0" y="0"/>
            <wp:positionH relativeFrom="column">
              <wp:align>center</wp:align>
            </wp:positionH>
            <wp:positionV relativeFrom="paragraph">
              <wp:posOffset>635</wp:posOffset>
            </wp:positionV>
            <wp:extent cx="5731510" cy="7409815"/>
            <wp:effectExtent l="0" t="0" r="0" b="0"/>
            <wp:wrapSquare wrapText="largest"/>
            <wp:docPr id="1"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title=""/>
                    <pic:cNvPicPr>
                      <a:picLocks noChangeAspect="1" noChangeArrowheads="1"/>
                    </pic:cNvPicPr>
                  </pic:nvPicPr>
                  <pic:blipFill>
                    <a:blip r:embed="rId2"/>
                    <a:stretch>
                      <a:fillRect/>
                    </a:stretch>
                  </pic:blipFill>
                  <pic:spPr bwMode="auto">
                    <a:xfrm>
                      <a:off x="0" y="0"/>
                      <a:ext cx="5731510" cy="7409815"/>
                    </a:xfrm>
                    <a:prstGeom prst="rect">
                      <a:avLst/>
                    </a:prstGeom>
                  </pic:spPr>
                </pic:pic>
              </a:graphicData>
            </a:graphic>
          </wp:anchor>
        </w:drawing>
      </w:r>
      <w:r>
        <w:br w:type="page"/>
      </w:r>
    </w:p>
    <w:p>
      <w:pPr>
        <w:pStyle w:val="Normal"/>
        <w:bidi w:val="0"/>
        <w:spacing w:lineRule="auto" w:line="240" w:before="0" w:after="0"/>
        <w:jc w:val="start"/>
        <w:rPr>
          <w:b/>
          <w:bCs/>
          <w:color w:val="FF0000"/>
          <w:sz w:val="24"/>
          <w:szCs w:val="24"/>
        </w:rPr>
      </w:pPr>
      <w:r>
        <w:rPr>
          <w:b/>
          <w:bCs/>
          <w:color w:val="FF0000"/>
          <w:sz w:val="24"/>
          <w:szCs w:val="24"/>
        </w:rPr>
      </w:r>
    </w:p>
    <w:sdt>
      <w:sdtPr>
        <w:docPartObj>
          <w:docPartGallery w:val="Table of Contents"/>
          <w:docPartUnique w:val="true"/>
        </w:docPartObj>
      </w:sdtPr>
      <w:sdtContent>
        <w:p>
          <w:pPr>
            <w:pStyle w:val="TOCHeading"/>
            <w:bidi w:val="0"/>
            <w:spacing w:lineRule="auto" w:line="259" w:before="240" w:after="0"/>
            <w:jc w:val="start"/>
            <w:rPr>
              <w:rFonts w:ascii="Calibri" w:hAnsi="Calibri"/>
              <w:color w:themeColor="accent1" w:themeShade="bf" w:val="365F91"/>
              <w:sz w:val="32"/>
              <w:szCs w:val="32"/>
              <w:lang w:val="fr-CA"/>
            </w:rPr>
          </w:pPr>
          <w:r>
            <w:rPr>
              <w:color w:themeColor="accent1" w:themeShade="bf" w:val="365F91"/>
              <w:sz w:val="32"/>
              <w:szCs w:val="32"/>
              <w:lang w:val="fr-CA"/>
            </w:rPr>
            <w:t>Table des matières</w:t>
          </w:r>
        </w:p>
        <w:p>
          <w:pPr>
            <w:pStyle w:val="TOC1"/>
            <w:tabs>
              <w:tab w:val="clear" w:pos="709"/>
              <w:tab w:val="right" w:pos="9026" w:leader="dot"/>
            </w:tabs>
            <w:bidi w:val="0"/>
            <w:jc w:val="start"/>
            <w:rPr/>
          </w:pPr>
          <w:r>
            <w:fldChar w:fldCharType="begin"/>
          </w:r>
          <w:r>
            <w:rPr>
              <w:rStyle w:val="IndexLink"/>
              <w:vanish w:val="false"/>
            </w:rPr>
            <w:instrText xml:space="preserve"> TOC \o "1-3" \h</w:instrText>
          </w:r>
          <w:r>
            <w:rPr>
              <w:rStyle w:val="IndexLink"/>
              <w:vanish w:val="false"/>
            </w:rPr>
            <w:fldChar w:fldCharType="separate"/>
          </w:r>
          <w:hyperlink w:anchor="__RefHeading___Toc11555_3997879255">
            <w:r>
              <w:rPr>
                <w:rStyle w:val="IndexLink"/>
                <w:vanish w:val="false"/>
              </w:rPr>
              <w:t>Mot du président</w:t>
            </w:r>
            <w:r>
              <w:rPr>
                <w:rStyle w:val="IndexLink"/>
                <w:vanish w:val="false"/>
              </w:rPr>
              <w:tab/>
              <w:t>4</w:t>
            </w:r>
          </w:hyperlink>
        </w:p>
        <w:p>
          <w:pPr>
            <w:pStyle w:val="TOC1"/>
            <w:tabs>
              <w:tab w:val="clear" w:pos="709"/>
              <w:tab w:val="right" w:pos="9026" w:leader="dot"/>
            </w:tabs>
            <w:bidi w:val="0"/>
            <w:jc w:val="start"/>
            <w:rPr/>
          </w:pPr>
          <w:hyperlink w:anchor="__RefHeading___Toc11557_3997879255">
            <w:r>
              <w:rPr>
                <w:rStyle w:val="IndexLink"/>
                <w:vanish w:val="false"/>
              </w:rPr>
              <w:t>Mot du directeur général</w:t>
              <w:tab/>
              <w:t>5</w:t>
            </w:r>
          </w:hyperlink>
        </w:p>
        <w:p>
          <w:pPr>
            <w:pStyle w:val="TOC1"/>
            <w:tabs>
              <w:tab w:val="clear" w:pos="709"/>
              <w:tab w:val="right" w:pos="9026" w:leader="dot"/>
            </w:tabs>
            <w:bidi w:val="0"/>
            <w:jc w:val="start"/>
            <w:rPr/>
          </w:pPr>
          <w:hyperlink w:anchor="__RefHeading___Toc11559_3997879255">
            <w:r>
              <w:rPr>
                <w:rStyle w:val="IndexLink"/>
                <w:vanish w:val="false"/>
              </w:rPr>
              <w:t>Conseil d’administration</w:t>
              <w:tab/>
              <w:t>6</w:t>
            </w:r>
          </w:hyperlink>
        </w:p>
        <w:p>
          <w:pPr>
            <w:pStyle w:val="TOC1"/>
            <w:tabs>
              <w:tab w:val="clear" w:pos="709"/>
              <w:tab w:val="right" w:pos="9026" w:leader="dot"/>
            </w:tabs>
            <w:bidi w:val="0"/>
            <w:jc w:val="start"/>
            <w:rPr/>
          </w:pPr>
          <w:hyperlink w:anchor="__RefHeading___Toc11561_3997879255">
            <w:r>
              <w:rPr>
                <w:rStyle w:val="IndexLink"/>
                <w:vanish w:val="false"/>
              </w:rPr>
              <w:t>Remerciements</w:t>
              <w:tab/>
              <w:t>6</w:t>
            </w:r>
          </w:hyperlink>
        </w:p>
        <w:p>
          <w:pPr>
            <w:pStyle w:val="TOC1"/>
            <w:tabs>
              <w:tab w:val="clear" w:pos="709"/>
              <w:tab w:val="right" w:pos="9026" w:leader="dot"/>
            </w:tabs>
            <w:bidi w:val="0"/>
            <w:jc w:val="start"/>
            <w:rPr/>
          </w:pPr>
          <w:hyperlink w:anchor="__RefHeading___Toc11563_3997879255">
            <w:r>
              <w:rPr>
                <w:rStyle w:val="IndexLink"/>
                <w:vanish w:val="false"/>
              </w:rPr>
              <w:t>Membres</w:t>
              <w:tab/>
              <w:t>7</w:t>
            </w:r>
          </w:hyperlink>
        </w:p>
        <w:p>
          <w:pPr>
            <w:pStyle w:val="TOC1"/>
            <w:tabs>
              <w:tab w:val="clear" w:pos="709"/>
              <w:tab w:val="right" w:pos="9026" w:leader="dot"/>
            </w:tabs>
            <w:bidi w:val="0"/>
            <w:jc w:val="start"/>
            <w:rPr/>
          </w:pPr>
          <w:hyperlink w:anchor="__RefHeading___Toc11565_3997879255">
            <w:r>
              <w:rPr>
                <w:rStyle w:val="IndexLink"/>
                <w:vanish w:val="false"/>
              </w:rPr>
              <w:t>Fonctionnement démocratique</w:t>
              <w:tab/>
              <w:t>7</w:t>
            </w:r>
          </w:hyperlink>
        </w:p>
        <w:p>
          <w:pPr>
            <w:pStyle w:val="TOC2"/>
            <w:tabs>
              <w:tab w:val="clear" w:pos="709"/>
              <w:tab w:val="right" w:pos="9246" w:leader="dot"/>
            </w:tabs>
            <w:bidi w:val="0"/>
            <w:jc w:val="start"/>
            <w:rPr/>
          </w:pPr>
          <w:hyperlink w:anchor="__RefHeading___Toc11567_3997879255">
            <w:r>
              <w:rPr>
                <w:rStyle w:val="IndexLink"/>
                <w:vanish w:val="false"/>
              </w:rPr>
              <w:t>Réunions du conseil d’administration</w:t>
              <w:tab/>
              <w:t>7</w:t>
            </w:r>
          </w:hyperlink>
        </w:p>
        <w:p>
          <w:pPr>
            <w:pStyle w:val="TOC2"/>
            <w:tabs>
              <w:tab w:val="clear" w:pos="709"/>
              <w:tab w:val="right" w:pos="9246" w:leader="dot"/>
            </w:tabs>
            <w:bidi w:val="0"/>
            <w:jc w:val="start"/>
            <w:rPr/>
          </w:pPr>
          <w:hyperlink w:anchor="__RefHeading___Toc11569_3997879255">
            <w:r>
              <w:rPr>
                <w:rStyle w:val="IndexLink"/>
                <w:vanish w:val="false"/>
              </w:rPr>
              <w:t>Gouvernance</w:t>
              <w:tab/>
              <w:t>8</w:t>
            </w:r>
          </w:hyperlink>
        </w:p>
        <w:p>
          <w:pPr>
            <w:pStyle w:val="TOC1"/>
            <w:tabs>
              <w:tab w:val="clear" w:pos="709"/>
              <w:tab w:val="right" w:pos="9026" w:leader="dot"/>
            </w:tabs>
            <w:bidi w:val="0"/>
            <w:jc w:val="start"/>
            <w:rPr/>
          </w:pPr>
          <w:hyperlink w:anchor="__RefHeading___Toc11571_3997879255">
            <w:r>
              <w:rPr>
                <w:rStyle w:val="IndexLink"/>
                <w:vanish w:val="false"/>
              </w:rPr>
              <w:t>Plaintes en cours</w:t>
              <w:tab/>
              <w:t>8</w:t>
            </w:r>
          </w:hyperlink>
        </w:p>
        <w:p>
          <w:pPr>
            <w:pStyle w:val="TOC1"/>
            <w:tabs>
              <w:tab w:val="clear" w:pos="709"/>
              <w:tab w:val="right" w:pos="9026" w:leader="dot"/>
            </w:tabs>
            <w:bidi w:val="0"/>
            <w:jc w:val="start"/>
            <w:rPr/>
          </w:pPr>
          <w:hyperlink w:anchor="__RefHeading___Toc11573_3997879255">
            <w:r>
              <w:rPr>
                <w:rStyle w:val="IndexLink"/>
                <w:vanish w:val="false"/>
              </w:rPr>
              <w:t>In Memoriam</w:t>
              <w:tab/>
              <w:t>9</w:t>
            </w:r>
          </w:hyperlink>
        </w:p>
        <w:p>
          <w:pPr>
            <w:pStyle w:val="TOC1"/>
            <w:tabs>
              <w:tab w:val="clear" w:pos="709"/>
              <w:tab w:val="right" w:pos="9026" w:leader="dot"/>
            </w:tabs>
            <w:bidi w:val="0"/>
            <w:jc w:val="start"/>
            <w:rPr/>
          </w:pPr>
          <w:hyperlink w:anchor="__RefHeading___Toc11575_3997879255">
            <w:r>
              <w:rPr>
                <w:rStyle w:val="IndexLink"/>
                <w:vanish w:val="false"/>
              </w:rPr>
              <w:t>Mentions honorifiques</w:t>
              <w:tab/>
              <w:t>9</w:t>
            </w:r>
          </w:hyperlink>
        </w:p>
        <w:p>
          <w:pPr>
            <w:pStyle w:val="TOC1"/>
            <w:tabs>
              <w:tab w:val="clear" w:pos="709"/>
              <w:tab w:val="right" w:pos="9026" w:leader="dot"/>
            </w:tabs>
            <w:bidi w:val="0"/>
            <w:jc w:val="start"/>
            <w:rPr/>
          </w:pPr>
          <w:hyperlink w:anchor="__RefHeading___Toc11577_3997879255">
            <w:r>
              <w:rPr>
                <w:rStyle w:val="IndexLink"/>
                <w:vanish w:val="false"/>
              </w:rPr>
              <w:t>DOSSIERS MAJEURS</w:t>
              <w:tab/>
              <w:t>9</w:t>
            </w:r>
          </w:hyperlink>
        </w:p>
        <w:p>
          <w:pPr>
            <w:pStyle w:val="TOC2"/>
            <w:tabs>
              <w:tab w:val="clear" w:pos="709"/>
              <w:tab w:val="right" w:pos="9246" w:leader="dot"/>
            </w:tabs>
            <w:bidi w:val="0"/>
            <w:jc w:val="start"/>
            <w:rPr/>
          </w:pPr>
          <w:hyperlink w:anchor="__RefHeading___Toc11579_3997879255">
            <w:r>
              <w:rPr>
                <w:rStyle w:val="IndexLink"/>
                <w:vanish w:val="false"/>
              </w:rPr>
              <w:t>Une année de mobilisation, de résistance et d’influence</w:t>
              <w:tab/>
              <w:t>9</w:t>
            </w:r>
          </w:hyperlink>
        </w:p>
        <w:p>
          <w:pPr>
            <w:pStyle w:val="TOC1"/>
            <w:tabs>
              <w:tab w:val="clear" w:pos="709"/>
              <w:tab w:val="right" w:pos="9026" w:leader="dot"/>
            </w:tabs>
            <w:bidi w:val="0"/>
            <w:jc w:val="start"/>
            <w:rPr/>
          </w:pPr>
          <w:hyperlink w:anchor="__RefHeading___Toc11581_3997879255">
            <w:r>
              <w:rPr>
                <w:rStyle w:val="IndexLink"/>
                <w:vanish w:val="false"/>
              </w:rPr>
              <w:t>Promotion des droits et débats</w:t>
              <w:tab/>
              <w:t>10</w:t>
            </w:r>
          </w:hyperlink>
        </w:p>
        <w:p>
          <w:pPr>
            <w:pStyle w:val="TOC1"/>
            <w:tabs>
              <w:tab w:val="clear" w:pos="709"/>
              <w:tab w:val="right" w:pos="9026" w:leader="dot"/>
            </w:tabs>
            <w:bidi w:val="0"/>
            <w:jc w:val="start"/>
            <w:rPr/>
          </w:pPr>
          <w:hyperlink w:anchor="__RefHeading___Toc11583_3997879255">
            <w:r>
              <w:rPr>
                <w:rStyle w:val="IndexLink"/>
                <w:vanish w:val="false"/>
              </w:rPr>
              <w:t>Représentations politiques et institutionnelles</w:t>
              <w:tab/>
              <w:t>10</w:t>
            </w:r>
          </w:hyperlink>
        </w:p>
        <w:p>
          <w:pPr>
            <w:pStyle w:val="TOC1"/>
            <w:tabs>
              <w:tab w:val="clear" w:pos="709"/>
              <w:tab w:val="right" w:pos="9026" w:leader="dot"/>
            </w:tabs>
            <w:bidi w:val="0"/>
            <w:jc w:val="start"/>
            <w:rPr/>
          </w:pPr>
          <w:hyperlink w:anchor="__RefHeading___Toc11585_3997879255">
            <w:r>
              <w:rPr>
                <w:rStyle w:val="IndexLink"/>
                <w:vanish w:val="false"/>
              </w:rPr>
              <w:t>Accessibilité universelle : Des reculs budgétaires inquiétants</w:t>
              <w:tab/>
              <w:t>11</w:t>
            </w:r>
          </w:hyperlink>
        </w:p>
        <w:p>
          <w:pPr>
            <w:pStyle w:val="TOC1"/>
            <w:tabs>
              <w:tab w:val="clear" w:pos="709"/>
              <w:tab w:val="right" w:pos="9026" w:leader="dot"/>
            </w:tabs>
            <w:bidi w:val="0"/>
            <w:jc w:val="start"/>
            <w:rPr/>
          </w:pPr>
          <w:hyperlink w:anchor="__RefHeading___Toc11587_3997879255">
            <w:r>
              <w:rPr>
                <w:rStyle w:val="IndexLink"/>
                <w:vanish w:val="false"/>
              </w:rPr>
              <w:t>Lutte contre la discrimination systémique</w:t>
              <w:tab/>
              <w:t>12</w:t>
            </w:r>
          </w:hyperlink>
        </w:p>
        <w:p>
          <w:pPr>
            <w:pStyle w:val="TOC1"/>
            <w:tabs>
              <w:tab w:val="clear" w:pos="709"/>
              <w:tab w:val="right" w:pos="9026" w:leader="dot"/>
            </w:tabs>
            <w:bidi w:val="0"/>
            <w:jc w:val="start"/>
            <w:rPr/>
          </w:pPr>
          <w:hyperlink w:anchor="__RefHeading___Toc11589_3997879255">
            <w:r>
              <w:rPr>
                <w:rStyle w:val="IndexLink"/>
                <w:vanish w:val="false"/>
              </w:rPr>
              <w:t>Coupures dans différents services concernant les personnes handicapées</w:t>
              <w:tab/>
              <w:t>12</w:t>
            </w:r>
          </w:hyperlink>
        </w:p>
        <w:p>
          <w:pPr>
            <w:pStyle w:val="TOC2"/>
            <w:tabs>
              <w:tab w:val="clear" w:pos="709"/>
              <w:tab w:val="right" w:pos="9246" w:leader="dot"/>
            </w:tabs>
            <w:bidi w:val="0"/>
            <w:jc w:val="start"/>
            <w:rPr/>
          </w:pPr>
          <w:hyperlink w:anchor="__RefHeading___Toc11591_3997879255">
            <w:r>
              <w:rPr>
                <w:rStyle w:val="IndexLink"/>
                <w:vanish w:val="false"/>
              </w:rPr>
              <w:t>Maintien à domicile : vivre chez soi dans la dignité</w:t>
              <w:tab/>
              <w:t>12</w:t>
            </w:r>
          </w:hyperlink>
        </w:p>
        <w:p>
          <w:pPr>
            <w:pStyle w:val="TOC2"/>
            <w:tabs>
              <w:tab w:val="clear" w:pos="709"/>
              <w:tab w:val="right" w:pos="9246" w:leader="dot"/>
            </w:tabs>
            <w:bidi w:val="0"/>
            <w:jc w:val="start"/>
            <w:rPr/>
          </w:pPr>
          <w:hyperlink w:anchor="__RefHeading___Toc11593_3997879255">
            <w:r>
              <w:rPr>
                <w:rStyle w:val="IndexLink"/>
                <w:vanish w:val="false"/>
              </w:rPr>
              <w:t>Le dossier du Programme d’adaptation de domicile (PAD) illustre parfaitement cette réalité.</w:t>
              <w:tab/>
              <w:t>13</w:t>
            </w:r>
          </w:hyperlink>
        </w:p>
        <w:p>
          <w:pPr>
            <w:pStyle w:val="TOC2"/>
            <w:tabs>
              <w:tab w:val="clear" w:pos="709"/>
              <w:tab w:val="right" w:pos="9246" w:leader="dot"/>
            </w:tabs>
            <w:bidi w:val="0"/>
            <w:jc w:val="start"/>
            <w:rPr/>
          </w:pPr>
          <w:hyperlink w:anchor="__RefHeading___Toc11595_3997879255">
            <w:r>
              <w:rPr>
                <w:rStyle w:val="IndexLink"/>
                <w:vanish w:val="false"/>
              </w:rPr>
              <w:t>Le RAPLIQ dit NON</w:t>
              <w:tab/>
              <w:t>14</w:t>
            </w:r>
          </w:hyperlink>
        </w:p>
        <w:p>
          <w:pPr>
            <w:pStyle w:val="TOC1"/>
            <w:tabs>
              <w:tab w:val="clear" w:pos="709"/>
              <w:tab w:val="right" w:pos="9026" w:leader="dot"/>
            </w:tabs>
            <w:bidi w:val="0"/>
            <w:jc w:val="start"/>
            <w:rPr/>
          </w:pPr>
          <w:hyperlink w:anchor="__RefHeading___Toc11597_3997879255">
            <w:r>
              <w:rPr>
                <w:rStyle w:val="IndexLink"/>
                <w:vanish w:val="false"/>
              </w:rPr>
              <w:t>Femmes handicapées victimes de violence conjugale : une réalité encore trop invisible</w:t>
              <w:tab/>
              <w:t>15</w:t>
            </w:r>
          </w:hyperlink>
        </w:p>
        <w:p>
          <w:pPr>
            <w:pStyle w:val="TOC1"/>
            <w:tabs>
              <w:tab w:val="clear" w:pos="709"/>
              <w:tab w:val="right" w:pos="9026" w:leader="dot"/>
            </w:tabs>
            <w:bidi w:val="0"/>
            <w:jc w:val="start"/>
            <w:rPr/>
          </w:pPr>
          <w:hyperlink w:anchor="__RefHeading___Toc11599_3997879255">
            <w:r>
              <w:rPr>
                <w:rStyle w:val="IndexLink"/>
                <w:vanish w:val="false"/>
              </w:rPr>
              <w:t>IVAC : Pour une justice réelle et une réparation digne</w:t>
              <w:tab/>
              <w:t>15</w:t>
            </w:r>
          </w:hyperlink>
        </w:p>
        <w:p>
          <w:pPr>
            <w:pStyle w:val="TOC1"/>
            <w:tabs>
              <w:tab w:val="clear" w:pos="709"/>
              <w:tab w:val="right" w:pos="9026" w:leader="dot"/>
            </w:tabs>
            <w:bidi w:val="0"/>
            <w:jc w:val="start"/>
            <w:rPr/>
          </w:pPr>
          <w:hyperlink w:anchor="__RefHeading___Toc11601_3997879255">
            <w:r>
              <w:rPr>
                <w:rStyle w:val="IndexLink"/>
                <w:vanish w:val="false"/>
              </w:rPr>
              <w:t>Terrasses et accessibilité : encore trop de portes fermées</w:t>
              <w:tab/>
              <w:t>16</w:t>
            </w:r>
          </w:hyperlink>
        </w:p>
        <w:p>
          <w:pPr>
            <w:pStyle w:val="TOC1"/>
            <w:tabs>
              <w:tab w:val="clear" w:pos="709"/>
              <w:tab w:val="right" w:pos="9026" w:leader="dot"/>
            </w:tabs>
            <w:bidi w:val="0"/>
            <w:jc w:val="start"/>
            <w:rPr/>
          </w:pPr>
          <w:hyperlink w:anchor="__RefHeading___Toc11603_3997879255">
            <w:r>
              <w:rPr>
                <w:rStyle w:val="IndexLink"/>
                <w:vanish w:val="false"/>
              </w:rPr>
              <w:t>Transport adapté, accessibilité et mobilité : des inquiétudes persistantes</w:t>
              <w:tab/>
              <w:t>17</w:t>
            </w:r>
          </w:hyperlink>
        </w:p>
        <w:p>
          <w:pPr>
            <w:pStyle w:val="TOC1"/>
            <w:tabs>
              <w:tab w:val="clear" w:pos="709"/>
              <w:tab w:val="right" w:pos="9026" w:leader="dot"/>
            </w:tabs>
            <w:bidi w:val="0"/>
            <w:jc w:val="start"/>
            <w:rPr/>
          </w:pPr>
          <w:hyperlink w:anchor="__RefHeading___Toc11605_3997879255">
            <w:r>
              <w:rPr>
                <w:rStyle w:val="IndexLink"/>
                <w:vanish w:val="false"/>
              </w:rPr>
              <w:t>Accès à la santé et aux services publics</w:t>
              <w:tab/>
              <w:t>18</w:t>
            </w:r>
          </w:hyperlink>
        </w:p>
        <w:p>
          <w:pPr>
            <w:pStyle w:val="TOC2"/>
            <w:tabs>
              <w:tab w:val="clear" w:pos="709"/>
              <w:tab w:val="right" w:pos="9246" w:leader="dot"/>
            </w:tabs>
            <w:bidi w:val="0"/>
            <w:jc w:val="start"/>
            <w:rPr/>
          </w:pPr>
          <w:hyperlink w:anchor="__RefHeading___Toc11607_3997879255">
            <w:r>
              <w:rPr>
                <w:rStyle w:val="IndexLink"/>
                <w:vanish w:val="false"/>
              </w:rPr>
              <w:t>Cliniques de mammographie</w:t>
              <w:tab/>
              <w:t>19</w:t>
            </w:r>
          </w:hyperlink>
        </w:p>
        <w:p>
          <w:pPr>
            <w:pStyle w:val="TOC2"/>
            <w:tabs>
              <w:tab w:val="clear" w:pos="709"/>
              <w:tab w:val="right" w:pos="9246" w:leader="dot"/>
            </w:tabs>
            <w:bidi w:val="0"/>
            <w:jc w:val="start"/>
            <w:rPr/>
          </w:pPr>
          <w:hyperlink w:anchor="__RefHeading___Toc11609_3997879255">
            <w:r>
              <w:rPr>
                <w:rStyle w:val="IndexLink"/>
                <w:vanish w:val="false"/>
              </w:rPr>
              <w:t>RISBOd (Réseau intersectoriel de recherche en santé buccodentaire et osseuse durable)</w:t>
              <w:tab/>
              <w:t>19</w:t>
            </w:r>
          </w:hyperlink>
        </w:p>
        <w:p>
          <w:pPr>
            <w:pStyle w:val="TOC1"/>
            <w:tabs>
              <w:tab w:val="clear" w:pos="709"/>
              <w:tab w:val="right" w:pos="9026" w:leader="dot"/>
            </w:tabs>
            <w:bidi w:val="0"/>
            <w:jc w:val="start"/>
            <w:rPr/>
          </w:pPr>
          <w:hyperlink w:anchor="__RefHeading___Toc11611_3997879255">
            <w:r>
              <w:rPr>
                <w:rStyle w:val="IndexLink"/>
                <w:vanish w:val="false"/>
              </w:rPr>
              <w:t>Suivi sur l’action collective</w:t>
              <w:tab/>
              <w:t>19</w:t>
            </w:r>
          </w:hyperlink>
        </w:p>
        <w:p>
          <w:pPr>
            <w:pStyle w:val="TOC1"/>
            <w:tabs>
              <w:tab w:val="clear" w:pos="709"/>
              <w:tab w:val="right" w:pos="9026" w:leader="dot"/>
            </w:tabs>
            <w:bidi w:val="0"/>
            <w:jc w:val="start"/>
            <w:rPr/>
          </w:pPr>
          <w:hyperlink w:anchor="__RefHeading___Toc11613_3997879255">
            <w:r>
              <w:rPr>
                <w:rStyle w:val="IndexLink"/>
                <w:vanish w:val="false"/>
              </w:rPr>
              <w:t>Personnes handicapées et discrimination à l’embauche</w:t>
              <w:tab/>
              <w:t>20</w:t>
            </w:r>
          </w:hyperlink>
        </w:p>
        <w:p>
          <w:pPr>
            <w:pStyle w:val="TOC1"/>
            <w:tabs>
              <w:tab w:val="clear" w:pos="709"/>
              <w:tab w:val="right" w:pos="9026" w:leader="dot"/>
            </w:tabs>
            <w:bidi w:val="0"/>
            <w:jc w:val="start"/>
            <w:rPr/>
          </w:pPr>
          <w:hyperlink w:anchor="__RefHeading___Toc11615_3997879255">
            <w:r>
              <w:rPr>
                <w:rStyle w:val="IndexLink"/>
                <w:vanish w:val="false"/>
              </w:rPr>
              <w:t xml:space="preserve">Assistance sexuelle, série </w:t>
            </w:r>
            <w:r>
              <w:rPr>
                <w:rStyle w:val="IndexLink"/>
                <w:i/>
                <w:iCs/>
              </w:rPr>
              <w:t>Toucher</w:t>
            </w:r>
            <w:r>
              <w:rPr>
                <w:rStyle w:val="IndexLink"/>
              </w:rPr>
              <w:t xml:space="preserve"> et réflexion internationale</w:t>
              <w:tab/>
              <w:t>21</w:t>
            </w:r>
          </w:hyperlink>
        </w:p>
        <w:p>
          <w:pPr>
            <w:pStyle w:val="TOC1"/>
            <w:tabs>
              <w:tab w:val="clear" w:pos="709"/>
              <w:tab w:val="right" w:pos="9026" w:leader="dot"/>
            </w:tabs>
            <w:bidi w:val="0"/>
            <w:jc w:val="start"/>
            <w:rPr/>
          </w:pPr>
          <w:hyperlink w:anchor="__RefHeading___Toc11617_3997879255">
            <w:r>
              <w:rPr>
                <w:rStyle w:val="IndexLink"/>
                <w:vanish w:val="false"/>
              </w:rPr>
              <w:t>Soutien à domicile</w:t>
              <w:tab/>
              <w:t>21</w:t>
            </w:r>
          </w:hyperlink>
        </w:p>
        <w:p>
          <w:pPr>
            <w:pStyle w:val="TOC1"/>
            <w:tabs>
              <w:tab w:val="clear" w:pos="709"/>
              <w:tab w:val="right" w:pos="9026" w:leader="dot"/>
            </w:tabs>
            <w:bidi w:val="0"/>
            <w:jc w:val="start"/>
            <w:rPr/>
          </w:pPr>
          <w:hyperlink w:anchor="__RefHeading___Toc11619_3997879255">
            <w:r>
              <w:rPr>
                <w:rStyle w:val="IndexLink"/>
                <w:vanish w:val="false"/>
              </w:rPr>
              <w:t>Fermeture de la voie Camilien-Houde</w:t>
              <w:tab/>
              <w:t>22</w:t>
            </w:r>
          </w:hyperlink>
        </w:p>
        <w:p>
          <w:pPr>
            <w:pStyle w:val="TOC1"/>
            <w:tabs>
              <w:tab w:val="clear" w:pos="709"/>
              <w:tab w:val="right" w:pos="9026" w:leader="dot"/>
            </w:tabs>
            <w:bidi w:val="0"/>
            <w:jc w:val="start"/>
            <w:rPr/>
          </w:pPr>
          <w:hyperlink w:anchor="__RefHeading___Toc11621_3997879255">
            <w:r>
              <w:rPr>
                <w:rStyle w:val="IndexLink"/>
                <w:vanish w:val="false"/>
              </w:rPr>
              <w:t>Formation continue et renforcement des capacités</w:t>
              <w:tab/>
              <w:t>22</w:t>
            </w:r>
          </w:hyperlink>
        </w:p>
        <w:p>
          <w:pPr>
            <w:pStyle w:val="TOC1"/>
            <w:tabs>
              <w:tab w:val="clear" w:pos="709"/>
              <w:tab w:val="right" w:pos="9026" w:leader="dot"/>
            </w:tabs>
            <w:bidi w:val="0"/>
            <w:jc w:val="start"/>
            <w:rPr/>
          </w:pPr>
          <w:hyperlink w:anchor="__RefHeading___Toc11623_3997879255">
            <w:r>
              <w:rPr>
                <w:rStyle w:val="IndexLink"/>
                <w:vanish w:val="false"/>
              </w:rPr>
              <w:t>SPGQ (Syndicat de professionnelles et professionnels du gouvernement du Québec)</w:t>
              <w:tab/>
              <w:t>23</w:t>
            </w:r>
          </w:hyperlink>
        </w:p>
        <w:p>
          <w:pPr>
            <w:pStyle w:val="TOC1"/>
            <w:tabs>
              <w:tab w:val="clear" w:pos="709"/>
              <w:tab w:val="right" w:pos="9026" w:leader="dot"/>
            </w:tabs>
            <w:bidi w:val="0"/>
            <w:jc w:val="start"/>
            <w:rPr/>
          </w:pPr>
          <w:hyperlink w:anchor="__RefHeading___Toc11625_3997879255">
            <w:r>
              <w:rPr>
                <w:rStyle w:val="IndexLink"/>
                <w:vanish w:val="false"/>
              </w:rPr>
              <w:t>Collaborations</w:t>
              <w:tab/>
              <w:t>23</w:t>
            </w:r>
          </w:hyperlink>
        </w:p>
        <w:p>
          <w:pPr>
            <w:pStyle w:val="TOC2"/>
            <w:tabs>
              <w:tab w:val="clear" w:pos="709"/>
              <w:tab w:val="right" w:pos="9246" w:leader="dot"/>
            </w:tabs>
            <w:bidi w:val="0"/>
            <w:jc w:val="start"/>
            <w:rPr/>
          </w:pPr>
          <w:hyperlink w:anchor="__RefHeading___Toc11627_3997879255">
            <w:r>
              <w:rPr>
                <w:rStyle w:val="IndexLink"/>
                <w:vanish w:val="false"/>
              </w:rPr>
              <w:t>Collaboration avec le Réseau pour la Paix et l’Harmonie Sociale</w:t>
              <w:tab/>
              <w:t>23</w:t>
            </w:r>
          </w:hyperlink>
        </w:p>
        <w:p>
          <w:pPr>
            <w:pStyle w:val="TOC2"/>
            <w:tabs>
              <w:tab w:val="clear" w:pos="709"/>
              <w:tab w:val="right" w:pos="9246" w:leader="dot"/>
            </w:tabs>
            <w:bidi w:val="0"/>
            <w:jc w:val="start"/>
            <w:rPr/>
          </w:pPr>
          <w:hyperlink w:anchor="__RefHeading___Toc11629_3997879255">
            <w:r>
              <w:rPr>
                <w:rStyle w:val="IndexLink"/>
                <w:vanish w:val="false"/>
              </w:rPr>
              <w:t>Conférence mondiale sur les droits des personnes handicapées</w:t>
              <w:tab/>
              <w:t>24</w:t>
            </w:r>
          </w:hyperlink>
        </w:p>
        <w:p>
          <w:pPr>
            <w:pStyle w:val="TOC1"/>
            <w:tabs>
              <w:tab w:val="clear" w:pos="709"/>
              <w:tab w:val="right" w:pos="9026" w:leader="dot"/>
            </w:tabs>
            <w:bidi w:val="0"/>
            <w:jc w:val="start"/>
            <w:rPr/>
          </w:pPr>
          <w:hyperlink w:anchor="__RefHeading___Toc11631_3997879255">
            <w:r>
              <w:rPr>
                <w:rStyle w:val="IndexLink"/>
                <w:vanish w:val="false"/>
              </w:rPr>
              <w:t>Représentation institutionnelle et comités externes</w:t>
              <w:tab/>
              <w:t>25</w:t>
            </w:r>
          </w:hyperlink>
        </w:p>
        <w:p>
          <w:pPr>
            <w:pStyle w:val="TOC1"/>
            <w:tabs>
              <w:tab w:val="clear" w:pos="709"/>
              <w:tab w:val="right" w:pos="9026" w:leader="dot"/>
            </w:tabs>
            <w:bidi w:val="0"/>
            <w:jc w:val="start"/>
            <w:rPr/>
          </w:pPr>
          <w:hyperlink w:anchor="__RefHeading___Toc11633_3997879255">
            <w:r>
              <w:rPr>
                <w:rStyle w:val="IndexLink"/>
                <w:vanish w:val="false"/>
              </w:rPr>
              <w:t>Prises de parole – Campagne de financement annuelle de Centraide</w:t>
              <w:tab/>
              <w:t>26</w:t>
            </w:r>
          </w:hyperlink>
        </w:p>
        <w:p>
          <w:pPr>
            <w:pStyle w:val="TOC1"/>
            <w:tabs>
              <w:tab w:val="clear" w:pos="709"/>
              <w:tab w:val="right" w:pos="9026" w:leader="dot"/>
            </w:tabs>
            <w:bidi w:val="0"/>
            <w:jc w:val="start"/>
            <w:rPr/>
          </w:pPr>
          <w:hyperlink w:anchor="__RefHeading___Toc11635_3997879255">
            <w:r>
              <w:rPr>
                <w:rStyle w:val="IndexLink"/>
                <w:vanish w:val="false"/>
              </w:rPr>
              <w:t>L’impact du RAPLIQ</w:t>
              <w:tab/>
              <w:t>26</w:t>
            </w:r>
          </w:hyperlink>
        </w:p>
        <w:p>
          <w:pPr>
            <w:pStyle w:val="TOC1"/>
            <w:tabs>
              <w:tab w:val="clear" w:pos="709"/>
              <w:tab w:val="right" w:pos="9026" w:leader="dot"/>
            </w:tabs>
            <w:bidi w:val="0"/>
            <w:jc w:val="start"/>
            <w:rPr/>
          </w:pPr>
          <w:hyperlink w:anchor="__RefHeading___Toc11637_3997879255">
            <w:r>
              <w:rPr>
                <w:rStyle w:val="IndexLink"/>
                <w:vanish w:val="false"/>
              </w:rPr>
              <w:t>RAPLIQ et les médias:</w:t>
              <w:tab/>
              <w:t>27</w:t>
            </w:r>
          </w:hyperlink>
        </w:p>
        <w:p>
          <w:pPr>
            <w:pStyle w:val="TOC1"/>
            <w:tabs>
              <w:tab w:val="clear" w:pos="709"/>
              <w:tab w:val="right" w:pos="9026" w:leader="dot"/>
            </w:tabs>
            <w:bidi w:val="0"/>
            <w:jc w:val="start"/>
            <w:rPr/>
          </w:pPr>
          <w:hyperlink w:anchor="__RefHeading___Toc11639_3997879255">
            <w:r>
              <w:rPr>
                <w:rStyle w:val="IndexLink"/>
                <w:vanish w:val="false"/>
              </w:rPr>
              <w:t>Planification d’action : vers un RAPLIQ plus fort, plus influent</w:t>
              <w:tab/>
              <w:t>27</w:t>
            </w:r>
          </w:hyperlink>
        </w:p>
        <w:p>
          <w:pPr>
            <w:pStyle w:val="TOC2"/>
            <w:tabs>
              <w:tab w:val="clear" w:pos="709"/>
              <w:tab w:val="right" w:pos="9246" w:leader="dot"/>
            </w:tabs>
            <w:bidi w:val="0"/>
            <w:jc w:val="start"/>
            <w:rPr/>
          </w:pPr>
          <w:hyperlink w:anchor="__RefHeading___Toc11641_3997879255">
            <w:r>
              <w:rPr>
                <w:rStyle w:val="IndexLink"/>
                <w:vanish w:val="false"/>
              </w:rPr>
              <w:t>Plan d'action 2026-2027</w:t>
              <w:tab/>
              <w:t>27</w:t>
            </w:r>
          </w:hyperlink>
        </w:p>
        <w:p>
          <w:pPr>
            <w:pStyle w:val="TOC3"/>
            <w:tabs>
              <w:tab w:val="clear" w:pos="709"/>
              <w:tab w:val="right" w:pos="9466" w:leader="dot"/>
            </w:tabs>
            <w:bidi w:val="0"/>
            <w:jc w:val="start"/>
            <w:rPr/>
          </w:pPr>
          <w:hyperlink w:anchor="__RefHeading___Toc11643_3997879255">
            <w:r>
              <w:rPr>
                <w:rStyle w:val="IndexLink"/>
                <w:vanish w:val="false"/>
              </w:rPr>
              <w:t>Orientation 1 – Défendre les droits des personnes handicapées</w:t>
              <w:tab/>
              <w:t>27</w:t>
            </w:r>
          </w:hyperlink>
        </w:p>
        <w:p>
          <w:pPr>
            <w:pStyle w:val="TOC3"/>
            <w:tabs>
              <w:tab w:val="clear" w:pos="709"/>
              <w:tab w:val="right" w:pos="9466" w:leader="dot"/>
            </w:tabs>
            <w:bidi w:val="0"/>
            <w:jc w:val="start"/>
            <w:rPr/>
          </w:pPr>
          <w:hyperlink w:anchor="__RefHeading___Toc11645_3997879255">
            <w:r>
              <w:rPr>
                <w:rStyle w:val="IndexLink"/>
                <w:vanish w:val="false"/>
              </w:rPr>
              <w:t>Orientation 2 – Influencer les politiques publiques</w:t>
              <w:tab/>
              <w:t>28</w:t>
            </w:r>
          </w:hyperlink>
        </w:p>
        <w:p>
          <w:pPr>
            <w:pStyle w:val="TOC3"/>
            <w:tabs>
              <w:tab w:val="clear" w:pos="709"/>
              <w:tab w:val="right" w:pos="9466" w:leader="dot"/>
            </w:tabs>
            <w:bidi w:val="0"/>
            <w:jc w:val="start"/>
            <w:rPr/>
          </w:pPr>
          <w:hyperlink w:anchor="__RefHeading___Toc11647_3997879255">
            <w:r>
              <w:rPr>
                <w:rStyle w:val="IndexLink"/>
                <w:vanish w:val="false"/>
              </w:rPr>
              <w:t>Orientation 3 – Améliorer l'accessibilité universelle</w:t>
              <w:tab/>
              <w:t>28</w:t>
            </w:r>
          </w:hyperlink>
        </w:p>
        <w:p>
          <w:pPr>
            <w:pStyle w:val="TOC3"/>
            <w:tabs>
              <w:tab w:val="clear" w:pos="709"/>
              <w:tab w:val="right" w:pos="9466" w:leader="dot"/>
            </w:tabs>
            <w:bidi w:val="0"/>
            <w:jc w:val="start"/>
            <w:rPr/>
          </w:pPr>
          <w:hyperlink w:anchor="__RefHeading___Toc11649_3997879255">
            <w:r>
              <w:rPr>
                <w:rStyle w:val="IndexLink"/>
                <w:vanish w:val="false"/>
              </w:rPr>
              <w:t>Orientation 4 – Renforcer les communications et la mobilisation</w:t>
              <w:tab/>
              <w:t>29</w:t>
            </w:r>
          </w:hyperlink>
        </w:p>
        <w:p>
          <w:pPr>
            <w:pStyle w:val="TOC3"/>
            <w:tabs>
              <w:tab w:val="clear" w:pos="709"/>
              <w:tab w:val="right" w:pos="9466" w:leader="dot"/>
            </w:tabs>
            <w:bidi w:val="0"/>
            <w:jc w:val="start"/>
            <w:rPr/>
          </w:pPr>
          <w:hyperlink w:anchor="__RefHeading___Toc11651_3997879255">
            <w:r>
              <w:rPr>
                <w:rStyle w:val="IndexLink"/>
                <w:vanish w:val="false"/>
              </w:rPr>
              <w:t>Orientation 5 – Assurer la croissance et la pérennité de l'organisation</w:t>
              <w:tab/>
              <w:t>29</w:t>
            </w:r>
          </w:hyperlink>
        </w:p>
        <w:p>
          <w:pPr>
            <w:pStyle w:val="TOC3"/>
            <w:tabs>
              <w:tab w:val="clear" w:pos="709"/>
              <w:tab w:val="right" w:pos="9466" w:leader="dot"/>
            </w:tabs>
            <w:bidi w:val="0"/>
            <w:jc w:val="start"/>
            <w:rPr/>
          </w:pPr>
          <w:hyperlink w:anchor="__RefHeading___Toc11653_3997879255">
            <w:r>
              <w:rPr>
                <w:rStyle w:val="IndexLink"/>
                <w:vanish w:val="false"/>
              </w:rPr>
              <w:t>Orientation 6 – Développer les partenariats nationaux et internationaux</w:t>
              <w:tab/>
              <w:t>29</w:t>
            </w:r>
          </w:hyperlink>
        </w:p>
        <w:p>
          <w:pPr>
            <w:pStyle w:val="TOC1"/>
            <w:tabs>
              <w:tab w:val="clear" w:pos="709"/>
              <w:tab w:val="right" w:pos="9026" w:leader="dot"/>
            </w:tabs>
            <w:bidi w:val="0"/>
            <w:jc w:val="start"/>
            <w:rPr/>
          </w:pPr>
          <w:hyperlink w:anchor="__RefHeading___Toc11655_3997879255">
            <w:r>
              <w:rPr>
                <w:rStyle w:val="IndexLink"/>
                <w:vanish w:val="false"/>
              </w:rPr>
              <w:t>États financiers</w:t>
              <w:tab/>
              <w:t>31</w:t>
            </w:r>
          </w:hyperlink>
        </w:p>
        <w:p>
          <w:pPr>
            <w:pStyle w:val="TOC1"/>
            <w:tabs>
              <w:tab w:val="clear" w:pos="709"/>
              <w:tab w:val="right" w:pos="9026" w:leader="dot"/>
            </w:tabs>
            <w:bidi w:val="0"/>
            <w:jc w:val="start"/>
            <w:rPr/>
          </w:pPr>
          <w:hyperlink w:anchor="__RefHeading___Toc11657_3997879255">
            <w:r>
              <w:rPr>
                <w:rStyle w:val="IndexLink"/>
                <w:vanish w:val="false"/>
              </w:rPr>
              <w:t>Prévisions budgétaires</w:t>
              <w:tab/>
              <w:t>41</w:t>
            </w:r>
          </w:hyperlink>
        </w:p>
        <w:p>
          <w:pPr>
            <w:pStyle w:val="TOC1"/>
            <w:tabs>
              <w:tab w:val="clear" w:pos="709"/>
              <w:tab w:val="right" w:pos="9026" w:leader="dot"/>
            </w:tabs>
            <w:bidi w:val="0"/>
            <w:jc w:val="start"/>
            <w:rPr/>
          </w:pPr>
          <w:hyperlink w:anchor="__RefHeading___Toc11659_3997879255">
            <w:r>
              <w:rPr>
                <w:rStyle w:val="IndexLink"/>
                <w:vanish w:val="false"/>
              </w:rPr>
              <w:t>RAPLIQ dans les médias</w:t>
              <w:tab/>
              <w:t>43</w:t>
            </w:r>
          </w:hyperlink>
          <w:r>
            <w:rPr>
              <w:rStyle w:val="IndexLink"/>
              <w:vanish w:val="false"/>
            </w:rPr>
            <w:fldChar w:fldCharType="end"/>
          </w:r>
        </w:p>
      </w:sdtContent>
    </w:sdt>
    <w:p>
      <w:pPr>
        <w:pStyle w:val="Normal"/>
        <w:bidi w:val="0"/>
        <w:spacing w:lineRule="auto" w:line="240"/>
        <w:jc w:val="start"/>
        <w:rPr>
          <w:color w:val="FF0000"/>
          <w:sz w:val="24"/>
          <w:szCs w:val="24"/>
        </w:rPr>
      </w:pPr>
      <w:r>
        <w:rPr>
          <w:color w:val="FF0000"/>
          <w:sz w:val="24"/>
          <w:szCs w:val="24"/>
        </w:rPr>
      </w:r>
    </w:p>
    <w:p>
      <w:pPr>
        <w:pStyle w:val="Heading1"/>
        <w:bidi w:val="0"/>
        <w:spacing w:lineRule="auto" w:line="240" w:before="0" w:after="0"/>
        <w:jc w:val="start"/>
        <w:rPr>
          <w:color w:val="FF0000"/>
        </w:rPr>
      </w:pPr>
      <w:r>
        <w:rPr>
          <w:color w:val="FF0000"/>
        </w:rPr>
      </w:r>
      <w:bookmarkStart w:id="0" w:name="_1wcj859sicye"/>
      <w:bookmarkStart w:id="1" w:name="_1wcj859sicye"/>
      <w:bookmarkEnd w:id="1"/>
      <w:r>
        <w:br w:type="page"/>
      </w:r>
    </w:p>
    <w:p>
      <w:pPr>
        <w:pStyle w:val="Heading1"/>
        <w:bidi w:val="0"/>
        <w:spacing w:before="0" w:after="120"/>
        <w:jc w:val="start"/>
        <w:rPr/>
      </w:pPr>
      <w:bookmarkStart w:id="2" w:name="__RefHeading___Toc11555_3997879255"/>
      <w:bookmarkStart w:id="3" w:name="_Toc231401465"/>
      <w:bookmarkEnd w:id="2"/>
      <w:r>
        <w:rPr>
          <w:b/>
          <w:bCs/>
        </w:rPr>
        <w:t>Mot du président</w:t>
      </w:r>
      <w:bookmarkEnd w:id="3"/>
      <w:r>
        <w:rPr>
          <w:b/>
          <w:bCs/>
        </w:rPr>
        <w:t xml:space="preserve"> </w:t>
      </w:r>
      <w:r>
        <w:rPr/>
        <w:t xml:space="preserve"> </w:t>
      </w:r>
    </w:p>
    <w:p>
      <w:pPr>
        <w:pStyle w:val="Normal"/>
        <w:bidi w:val="0"/>
        <w:spacing w:lineRule="auto" w:line="240" w:before="240" w:after="240"/>
        <w:jc w:val="start"/>
        <w:rPr/>
      </w:pPr>
      <w:bookmarkStart w:id="4" w:name="docs-internal-guid-010adb4c-7fff-2df2-c4"/>
      <w:bookmarkEnd w:id="4"/>
      <w:r>
        <w:rPr/>
        <w:drawing>
          <wp:inline distT="0" distB="0" distL="0" distR="0">
            <wp:extent cx="1866900" cy="1866900"/>
            <wp:effectExtent l="0" t="0" r="0" b="0"/>
            <wp:docPr id="2"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title=""/>
                    <pic:cNvPicPr>
                      <a:picLocks noChangeAspect="1" noChangeArrowheads="1"/>
                    </pic:cNvPicPr>
                  </pic:nvPicPr>
                  <pic:blipFill>
                    <a:blip r:embed="rId3"/>
                    <a:stretch>
                      <a:fillRect/>
                    </a:stretch>
                  </pic:blipFill>
                  <pic:spPr bwMode="auto">
                    <a:xfrm>
                      <a:off x="0" y="0"/>
                      <a:ext cx="1866900" cy="1866900"/>
                    </a:xfrm>
                    <a:prstGeom prst="rect">
                      <a:avLst/>
                    </a:prstGeom>
                  </pic:spPr>
                </pic:pic>
              </a:graphicData>
            </a:graphic>
          </wp:inline>
        </w:drawing>
      </w:r>
      <w:r>
        <w:rPr/>
        <w:t>Chères membres, chers membres,</w:t>
        <w:tab/>
        <w:t xml:space="preserve"> </w:t>
        <w:tab/>
      </w:r>
    </w:p>
    <w:p>
      <w:pPr>
        <w:pStyle w:val="Normal"/>
        <w:bidi w:val="0"/>
        <w:spacing w:lineRule="auto" w:line="240" w:before="240" w:after="160"/>
        <w:jc w:val="both"/>
        <w:rPr/>
      </w:pPr>
      <w:r>
        <w:rPr/>
        <w:t>C’est avec une profonde reconnaissance que je m’adresse à vous à titre de président du Conseil d’administration du RAPLIQ.</w:t>
      </w:r>
    </w:p>
    <w:p>
      <w:pPr>
        <w:pStyle w:val="Normal"/>
        <w:bidi w:val="0"/>
        <w:spacing w:lineRule="auto" w:line="240" w:before="0" w:after="0"/>
        <w:jc w:val="both"/>
        <w:rPr/>
      </w:pPr>
      <w:r>
        <w:rPr/>
        <w:t>L’année 2025–2026 a été marquée par des avancées significatives, des collaborations fructueuses et des défis que nous avons relevés ensemble avec détermination.</w:t>
      </w:r>
    </w:p>
    <w:p>
      <w:pPr>
        <w:pStyle w:val="Normal"/>
        <w:bidi w:val="0"/>
        <w:spacing w:lineRule="auto" w:line="240" w:before="69" w:after="0"/>
        <w:jc w:val="both"/>
        <w:rPr/>
      </w:pPr>
      <w:r>
        <w:rPr/>
        <w:t>Notre engagement indéfectible envers l’inclusion et les droits des personnes handicapées s’est traduit par des actions concrètes. Nous avons poursuivi notre travail de représentation et de sensibilisation auprès des décideurs et de nos partenaires afin de promouvoir une société plus accessible et inclusive.</w:t>
      </w:r>
    </w:p>
    <w:p>
      <w:pPr>
        <w:pStyle w:val="Normal"/>
        <w:bidi w:val="0"/>
        <w:spacing w:lineRule="auto" w:line="240" w:before="126" w:after="57"/>
        <w:jc w:val="both"/>
        <w:rPr/>
      </w:pPr>
      <w:r>
        <w:rPr/>
        <w:t>L’année a également été marquée par le jugement rendu dans le cadre de l’action collective du RAPLIQ contre la STM et d’autres organismes de transport collectif. Bien que le recours n’ait pas été accueilli dans son ensemble, la Cour a reconnu l’existence d’une discrimination envers les personnes handicapées dans l’accès au transport collectif. Cette reconnaissance constitue une étape importante dans la poursuite de notre mission et nous encourage à continuer nos efforts pour faire progresser l’accessibilité universelle. Le combat n’est pas terminé.</w:t>
      </w:r>
    </w:p>
    <w:p>
      <w:pPr>
        <w:pStyle w:val="Normal"/>
        <w:bidi w:val="0"/>
        <w:spacing w:lineRule="auto" w:line="240" w:before="12" w:after="0"/>
        <w:jc w:val="both"/>
        <w:rPr/>
      </w:pPr>
      <w:r>
        <w:rPr/>
        <w:t>Nous avons également poursuivi notre vigilance concernant l’évolution du transport adapté et l’accessibilité du réseau régulier de transport en commun, afin que les besoins des personnes handicapées demeurent au cœur des décisions qui les concernent.</w:t>
      </w:r>
    </w:p>
    <w:p>
      <w:pPr>
        <w:pStyle w:val="Normal"/>
        <w:bidi w:val="0"/>
        <w:spacing w:lineRule="auto" w:line="240" w:before="126" w:after="46"/>
        <w:jc w:val="both"/>
        <w:rPr/>
      </w:pPr>
      <w:r>
        <w:rPr/>
        <w:t>Ces actions témoignent de notre volonté constante de défendre les droits des personnes handicapées et de promouvoir une société plus inclusive.</w:t>
      </w:r>
    </w:p>
    <w:p>
      <w:pPr>
        <w:pStyle w:val="Normal"/>
        <w:bidi w:val="0"/>
        <w:spacing w:lineRule="auto" w:line="240" w:before="69" w:after="0"/>
        <w:jc w:val="both"/>
        <w:rPr/>
      </w:pPr>
      <w:r>
        <w:rPr/>
        <w:t>Je tiens à exprimer ma gratitude envers Linda, Steven et tous les bénévoles qui siègent sur le CA. Leur engagement indéfectible est au cœur de nos succès et de notre capacité à relever les défis qui se présentent à nous.</w:t>
      </w:r>
    </w:p>
    <w:p>
      <w:pPr>
        <w:pStyle w:val="Normal"/>
        <w:bidi w:val="0"/>
        <w:spacing w:lineRule="auto" w:line="240" w:before="126" w:after="46"/>
        <w:jc w:val="both"/>
        <w:rPr/>
      </w:pPr>
      <w:r>
        <w:rPr/>
        <w:t>Ensemble, nous continuerons à œuvrer pour un Québec sans obstacles ni discriminations.</w:t>
      </w:r>
    </w:p>
    <w:p>
      <w:pPr>
        <w:pStyle w:val="Normal"/>
        <w:bidi w:val="0"/>
        <w:spacing w:lineRule="auto" w:line="240" w:before="126" w:after="46"/>
        <w:jc w:val="both"/>
        <w:rPr/>
      </w:pPr>
      <w:r>
        <w:rPr/>
        <w:t>Solidairement,</w:t>
      </w:r>
    </w:p>
    <w:p>
      <w:pPr>
        <w:pStyle w:val="Normal"/>
        <w:bidi w:val="0"/>
        <w:spacing w:lineRule="auto" w:line="240" w:before="126" w:after="46"/>
        <w:jc w:val="both"/>
        <w:rPr/>
      </w:pPr>
      <w:r>
        <w:rPr/>
      </w:r>
    </w:p>
    <w:p>
      <w:pPr>
        <w:pStyle w:val="Normal"/>
        <w:bidi w:val="0"/>
        <w:spacing w:lineRule="auto" w:line="240" w:before="0" w:after="0"/>
        <w:jc w:val="start"/>
        <w:rPr/>
      </w:pPr>
      <w:r>
        <w:rPr>
          <w:rFonts w:ascii="Apple Chancery" w:hAnsi="Apple Chancery"/>
        </w:rPr>
        <w:t>Sylvain Plourde</w:t>
      </w:r>
    </w:p>
    <w:p>
      <w:pPr>
        <w:pStyle w:val="Heading1"/>
        <w:bidi w:val="0"/>
        <w:jc w:val="start"/>
        <w:rPr>
          <w:color w:val="FF0000"/>
          <w:sz w:val="24"/>
          <w:szCs w:val="24"/>
        </w:rPr>
      </w:pPr>
      <w:bookmarkStart w:id="5" w:name="__RefHeading___Toc11557_3997879255"/>
      <w:bookmarkStart w:id="6" w:name="_Toc231401466"/>
      <w:bookmarkEnd w:id="5"/>
      <w:r>
        <w:rPr>
          <w:b/>
          <w:bCs/>
        </w:rPr>
        <w:t>Mot du directeur général</w:t>
      </w:r>
      <w:bookmarkEnd w:id="6"/>
      <w:r>
        <w:rPr>
          <w:b/>
          <w:bCs/>
        </w:rPr>
        <w:t xml:space="preserve"> </w:t>
      </w:r>
      <w:r>
        <w:rPr/>
        <w:t xml:space="preserve"> </w:t>
      </w:r>
    </w:p>
    <w:p>
      <w:pPr>
        <w:pStyle w:val="Normal"/>
        <w:bidi w:val="0"/>
        <w:spacing w:lineRule="auto" w:line="240"/>
        <w:jc w:val="start"/>
        <w:rPr>
          <w:color w:val="FF0000"/>
          <w:sz w:val="24"/>
          <w:szCs w:val="24"/>
          <w:shd w:fill="FFFF00" w:val="clear"/>
        </w:rPr>
      </w:pPr>
      <w:r>
        <w:rPr>
          <w:color w:val="FF0000"/>
          <w:sz w:val="24"/>
          <w:szCs w:val="24"/>
          <w:shd w:fill="FFFF00" w:val="clear"/>
        </w:rPr>
        <w:drawing>
          <wp:anchor behindDoc="0" distT="114300" distB="114300" distL="114300" distR="114300" simplePos="0" locked="0" layoutInCell="0" allowOverlap="1" relativeHeight="20">
            <wp:simplePos x="0" y="0"/>
            <wp:positionH relativeFrom="column">
              <wp:posOffset>0</wp:posOffset>
            </wp:positionH>
            <wp:positionV relativeFrom="paragraph">
              <wp:posOffset>119380</wp:posOffset>
            </wp:positionV>
            <wp:extent cx="1350010" cy="2367280"/>
            <wp:effectExtent l="0" t="0" r="0" b="0"/>
            <wp:wrapSquare wrapText="bothSides"/>
            <wp:docPr id="3" name="image6.jpg"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6.jpg" descr="" title=""/>
                    <pic:cNvPicPr>
                      <a:picLocks noChangeAspect="1" noChangeArrowheads="1"/>
                    </pic:cNvPicPr>
                  </pic:nvPicPr>
                  <pic:blipFill>
                    <a:blip r:embed="rId4"/>
                    <a:stretch>
                      <a:fillRect/>
                    </a:stretch>
                  </pic:blipFill>
                  <pic:spPr bwMode="auto">
                    <a:xfrm>
                      <a:off x="0" y="0"/>
                      <a:ext cx="1350010" cy="2367280"/>
                    </a:xfrm>
                    <a:prstGeom prst="rect">
                      <a:avLst/>
                    </a:prstGeom>
                  </pic:spPr>
                </pic:pic>
              </a:graphicData>
            </a:graphic>
          </wp:anchor>
        </w:drawing>
      </w:r>
    </w:p>
    <w:p>
      <w:pPr>
        <w:pStyle w:val="Normal"/>
        <w:bidi w:val="0"/>
        <w:spacing w:before="240" w:after="240"/>
        <w:jc w:val="start"/>
        <w:rPr/>
      </w:pPr>
      <w:r>
        <w:rPr/>
        <w:t>Chères membres, chers membres, partenaires et alliés,</w:t>
      </w:r>
    </w:p>
    <w:p>
      <w:pPr>
        <w:pStyle w:val="Normal"/>
        <w:bidi w:val="0"/>
        <w:spacing w:before="12" w:after="12"/>
        <w:jc w:val="start"/>
        <w:rPr/>
      </w:pPr>
      <w:r>
        <w:rPr/>
        <w:t>L'année 2025-2026 aura été une année de défis, mais surtout une année d'action.</w:t>
      </w:r>
    </w:p>
    <w:p>
      <w:pPr>
        <w:pStyle w:val="Normal"/>
        <w:bidi w:val="0"/>
        <w:spacing w:before="69" w:after="69"/>
        <w:jc w:val="start"/>
        <w:rPr/>
      </w:pPr>
      <w:r>
        <w:rPr/>
      </w:r>
    </w:p>
    <w:p>
      <w:pPr>
        <w:pStyle w:val="Normal"/>
        <w:bidi w:val="0"/>
        <w:spacing w:before="0" w:after="0"/>
        <w:jc w:val="start"/>
        <w:rPr/>
      </w:pPr>
      <w:r>
        <w:rPr/>
        <w:t>Partout au Québec, les personnes handicapées ont continué de faire face à des obstacles importants. Qu'il s'agisse des coupures en soutien à domicile, des difficultés persistantes en transport adapté, du manque d'accessibilité dans de nombreux milieux de vie ou encore des multiples formes de discrimination qui subsistent, les raisons d'agir n'ont malheureusement pas manqué.</w:t>
      </w:r>
    </w:p>
    <w:p>
      <w:pPr>
        <w:pStyle w:val="Normal"/>
        <w:bidi w:val="0"/>
        <w:spacing w:before="240" w:after="240"/>
        <w:jc w:val="start"/>
        <w:rPr/>
      </w:pPr>
      <w:r>
        <w:rPr/>
        <w:t>Face à cette réalité, le RAPLIQ est demeuré fidèle à sa mission. Nous avons accompagné des personnes dans la défense de leurs droits, porté leurs revendications auprès des décideurs, dénoncé les injustices lorsqu'elles se présentaient et proposé des solutions concrètes pour bâtir une société plus inclusive.</w:t>
      </w:r>
    </w:p>
    <w:p>
      <w:pPr>
        <w:pStyle w:val="Normal"/>
        <w:bidi w:val="0"/>
        <w:spacing w:before="240" w:after="240"/>
        <w:jc w:val="start"/>
        <w:rPr/>
      </w:pPr>
      <w:r>
        <w:rPr/>
        <w:t>Cette année aura également démontré que la voix des personnes handicapées doit être entendue partout où se prennent les décisions qui les concernent. Que ce soit dans les médias, auprès des gouvernements, au sein des coalitions nationales ou sur des tribunes internationales, le RAPLIQ a continué de faire valoir le principe qui guide chacune de nos actions : rien sur nous sans nous.</w:t>
      </w:r>
    </w:p>
    <w:p>
      <w:pPr>
        <w:pStyle w:val="Normal"/>
        <w:bidi w:val="0"/>
        <w:spacing w:before="240" w:after="240"/>
        <w:jc w:val="start"/>
        <w:rPr/>
      </w:pPr>
      <w:r>
        <w:rPr/>
        <w:t>Je suis particulièrement fier du travail accompli par notre équipe, Linda Gauthier,  notre conseil d'administration, nos bénévoles, nos partenaires et toutes les personnes qui nous font confiance. Les avancées obtenues sont le résultat d'un effort collectif porté par une conviction commune : les droits des personnes handicapées sont des droits fondamentaux qui doivent être pleinement respectés. Ce rapport est le fruit d’un travail collectif.</w:t>
      </w:r>
    </w:p>
    <w:p>
      <w:pPr>
        <w:pStyle w:val="Normal"/>
        <w:bidi w:val="0"/>
        <w:spacing w:before="240" w:after="240"/>
        <w:jc w:val="start"/>
        <w:rPr/>
      </w:pPr>
      <w:r>
        <w:rPr/>
        <w:t>Bien sûr, le travail est loin d'être terminé. Les défis demeurent nombreux et les besoins sont immenses. Toutefois, les progrès réalisés au cours des dernières années nous démontrent qu'il est possible de faire évoluer les mentalités, d'influencer les politiques publiques et de transformer des revendications en changements concrets.</w:t>
      </w:r>
    </w:p>
    <w:p>
      <w:pPr>
        <w:pStyle w:val="Normal"/>
        <w:bidi w:val="0"/>
        <w:spacing w:before="240" w:after="240"/>
        <w:jc w:val="start"/>
        <w:rPr/>
      </w:pPr>
      <w:r>
        <w:rPr/>
        <w:t>Au nom du RAPLIQ, je remercie sincèrement toutes les personnes qui nous soutiennent dans cette mission. Votre confiance, votre engagement et votre solidarité nous permettent de poursuivre ce combat avec détermination.</w:t>
      </w:r>
    </w:p>
    <w:p>
      <w:pPr>
        <w:pStyle w:val="Normal"/>
        <w:bidi w:val="0"/>
        <w:spacing w:before="240" w:after="240"/>
        <w:jc w:val="start"/>
        <w:rPr/>
      </w:pPr>
      <w:r>
        <w:rPr/>
        <w:t>Ensemble, n’acceptons plus l’inacceptable.</w:t>
      </w:r>
    </w:p>
    <w:p>
      <w:pPr>
        <w:pStyle w:val="Normal"/>
        <w:bidi w:val="0"/>
        <w:spacing w:lineRule="auto" w:line="240"/>
        <w:jc w:val="start"/>
        <w:rPr/>
      </w:pPr>
      <w:r>
        <w:rPr/>
        <w:drawing>
          <wp:inline distT="0" distB="0" distL="0" distR="0">
            <wp:extent cx="1209675" cy="371475"/>
            <wp:effectExtent l="0" t="0" r="0" b="0"/>
            <wp:docPr id="4" name="image2.png"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descr="" title=""/>
                    <pic:cNvPicPr>
                      <a:picLocks noChangeAspect="1" noChangeArrowheads="1"/>
                    </pic:cNvPicPr>
                  </pic:nvPicPr>
                  <pic:blipFill>
                    <a:blip r:embed="rId5"/>
                    <a:stretch>
                      <a:fillRect/>
                    </a:stretch>
                  </pic:blipFill>
                  <pic:spPr bwMode="auto">
                    <a:xfrm>
                      <a:off x="0" y="0"/>
                      <a:ext cx="1209675" cy="371475"/>
                    </a:xfrm>
                    <a:prstGeom prst="rect">
                      <a:avLst/>
                    </a:prstGeom>
                  </pic:spPr>
                </pic:pic>
              </a:graphicData>
            </a:graphic>
          </wp:inline>
        </w:drawing>
      </w:r>
    </w:p>
    <w:p>
      <w:pPr>
        <w:pStyle w:val="Normal"/>
        <w:bidi w:val="0"/>
        <w:spacing w:lineRule="auto" w:line="240"/>
        <w:jc w:val="start"/>
        <w:rPr>
          <w:b/>
          <w:bCs/>
        </w:rPr>
      </w:pPr>
      <w:r>
        <w:rPr/>
      </w:r>
    </w:p>
    <w:p>
      <w:pPr>
        <w:pStyle w:val="Heading1"/>
        <w:bidi w:val="0"/>
        <w:jc w:val="start"/>
        <w:rPr>
          <w:b/>
          <w:bCs/>
        </w:rPr>
      </w:pPr>
      <w:bookmarkStart w:id="7" w:name="__RefHeading___Toc11559_3997879255"/>
      <w:bookmarkStart w:id="8" w:name="_Toc231401467"/>
      <w:bookmarkEnd w:id="7"/>
      <w:r>
        <w:rPr>
          <w:b/>
          <w:bCs/>
        </w:rPr>
        <w:t>Conseil d’administration</w:t>
      </w:r>
      <w:bookmarkEnd w:id="8"/>
    </w:p>
    <w:p>
      <w:pPr>
        <w:pStyle w:val="Normal"/>
        <w:bidi w:val="0"/>
        <w:spacing w:lineRule="auto" w:line="240"/>
        <w:jc w:val="start"/>
        <w:rPr>
          <w:sz w:val="24"/>
          <w:szCs w:val="24"/>
        </w:rPr>
      </w:pPr>
      <w:r>
        <w:rPr>
          <w:sz w:val="24"/>
          <w:szCs w:val="24"/>
        </w:rPr>
      </w:r>
    </w:p>
    <w:p>
      <w:pPr>
        <w:pStyle w:val="Normal"/>
        <w:bidi w:val="0"/>
        <w:spacing w:lineRule="auto" w:line="240"/>
        <w:jc w:val="start"/>
        <w:rPr>
          <w:sz w:val="24"/>
          <w:szCs w:val="24"/>
        </w:rPr>
      </w:pPr>
      <w:r>
        <w:rPr>
          <w:sz w:val="24"/>
          <w:szCs w:val="24"/>
        </w:rPr>
        <w:t>Le conseil d’administration au 31 mars 202</w:t>
      </w:r>
      <w:r>
        <w:rPr>
          <w:sz w:val="24"/>
          <w:szCs w:val="24"/>
        </w:rPr>
        <w:t>6</w:t>
      </w:r>
      <w:r>
        <w:rPr>
          <w:sz w:val="24"/>
          <w:szCs w:val="24"/>
        </w:rPr>
        <w:t xml:space="preserve"> était composé de: </w:t>
      </w:r>
    </w:p>
    <w:p>
      <w:pPr>
        <w:pStyle w:val="Normal"/>
        <w:bidi w:val="0"/>
        <w:spacing w:lineRule="auto" w:line="240"/>
        <w:jc w:val="start"/>
        <w:rPr>
          <w:sz w:val="24"/>
          <w:szCs w:val="24"/>
        </w:rPr>
      </w:pPr>
      <w:r>
        <w:rPr>
          <w:sz w:val="24"/>
          <w:szCs w:val="24"/>
        </w:rPr>
      </w:r>
    </w:p>
    <w:p>
      <w:pPr>
        <w:pStyle w:val="Normal"/>
        <w:numPr>
          <w:ilvl w:val="0"/>
          <w:numId w:val="1"/>
        </w:numPr>
        <w:bidi w:val="0"/>
        <w:spacing w:lineRule="auto" w:line="240"/>
        <w:jc w:val="start"/>
        <w:rPr>
          <w:sz w:val="24"/>
          <w:szCs w:val="24"/>
        </w:rPr>
      </w:pPr>
      <w:r>
        <w:rPr>
          <w:sz w:val="24"/>
          <w:szCs w:val="24"/>
        </w:rPr>
        <w:t xml:space="preserve">Sylvain Plourde, président ; </w:t>
      </w:r>
    </w:p>
    <w:p>
      <w:pPr>
        <w:pStyle w:val="Normal"/>
        <w:numPr>
          <w:ilvl w:val="0"/>
          <w:numId w:val="1"/>
        </w:numPr>
        <w:bidi w:val="0"/>
        <w:spacing w:lineRule="auto" w:line="240"/>
        <w:jc w:val="start"/>
        <w:rPr>
          <w:sz w:val="24"/>
          <w:szCs w:val="24"/>
        </w:rPr>
      </w:pPr>
      <w:r>
        <w:rPr>
          <w:sz w:val="24"/>
          <w:szCs w:val="24"/>
        </w:rPr>
        <w:t xml:space="preserve">Christophe Bedos, vice-président ; </w:t>
      </w:r>
    </w:p>
    <w:p>
      <w:pPr>
        <w:pStyle w:val="Normal"/>
        <w:numPr>
          <w:ilvl w:val="0"/>
          <w:numId w:val="1"/>
        </w:numPr>
        <w:bidi w:val="0"/>
        <w:spacing w:lineRule="auto" w:line="240"/>
        <w:jc w:val="start"/>
        <w:rPr>
          <w:sz w:val="24"/>
          <w:szCs w:val="24"/>
        </w:rPr>
      </w:pPr>
      <w:r>
        <w:rPr>
          <w:sz w:val="24"/>
          <w:szCs w:val="24"/>
        </w:rPr>
        <w:t xml:space="preserve">Laurent Morissette, secrétaire-trésorier ; </w:t>
      </w:r>
    </w:p>
    <w:p>
      <w:pPr>
        <w:pStyle w:val="Normal"/>
        <w:numPr>
          <w:ilvl w:val="0"/>
          <w:numId w:val="1"/>
        </w:numPr>
        <w:bidi w:val="0"/>
        <w:spacing w:lineRule="auto" w:line="240"/>
        <w:jc w:val="start"/>
        <w:rPr>
          <w:sz w:val="24"/>
          <w:szCs w:val="24"/>
        </w:rPr>
      </w:pPr>
      <w:r>
        <w:rPr>
          <w:sz w:val="24"/>
          <w:szCs w:val="24"/>
        </w:rPr>
        <w:t xml:space="preserve">Linda Gauthier, administratrice ; </w:t>
      </w:r>
    </w:p>
    <w:p>
      <w:pPr>
        <w:pStyle w:val="Normal"/>
        <w:numPr>
          <w:ilvl w:val="0"/>
          <w:numId w:val="1"/>
        </w:numPr>
        <w:bidi w:val="0"/>
        <w:spacing w:lineRule="auto" w:line="240"/>
        <w:jc w:val="start"/>
        <w:rPr>
          <w:sz w:val="24"/>
          <w:szCs w:val="24"/>
        </w:rPr>
      </w:pPr>
      <w:r>
        <w:rPr>
          <w:sz w:val="24"/>
          <w:szCs w:val="24"/>
        </w:rPr>
        <w:t>Jacques Bisson, administrateur ;</w:t>
      </w:r>
    </w:p>
    <w:p>
      <w:pPr>
        <w:pStyle w:val="Normal"/>
        <w:numPr>
          <w:ilvl w:val="0"/>
          <w:numId w:val="1"/>
        </w:numPr>
        <w:bidi w:val="0"/>
        <w:spacing w:lineRule="auto" w:line="240"/>
        <w:jc w:val="start"/>
        <w:rPr>
          <w:sz w:val="24"/>
          <w:szCs w:val="24"/>
        </w:rPr>
      </w:pPr>
      <w:r>
        <w:rPr>
          <w:sz w:val="24"/>
          <w:szCs w:val="24"/>
        </w:rPr>
        <w:t>Amélie Allard, administratrice ;</w:t>
      </w:r>
    </w:p>
    <w:p>
      <w:pPr>
        <w:pStyle w:val="Normal"/>
        <w:numPr>
          <w:ilvl w:val="0"/>
          <w:numId w:val="1"/>
        </w:numPr>
        <w:bidi w:val="0"/>
        <w:spacing w:lineRule="auto" w:line="240"/>
        <w:jc w:val="start"/>
        <w:rPr>
          <w:sz w:val="24"/>
          <w:szCs w:val="24"/>
        </w:rPr>
      </w:pPr>
      <w:r>
        <w:rPr>
          <w:sz w:val="24"/>
          <w:szCs w:val="24"/>
        </w:rPr>
        <w:t>Emmanuelle Champagne, administratrice ;</w:t>
      </w:r>
    </w:p>
    <w:p>
      <w:pPr>
        <w:pStyle w:val="Normal"/>
        <w:numPr>
          <w:ilvl w:val="0"/>
          <w:numId w:val="1"/>
        </w:numPr>
        <w:bidi w:val="0"/>
        <w:spacing w:lineRule="auto" w:line="240"/>
        <w:jc w:val="start"/>
        <w:rPr>
          <w:sz w:val="24"/>
          <w:szCs w:val="24"/>
        </w:rPr>
      </w:pPr>
      <w:r>
        <w:rPr>
          <w:sz w:val="24"/>
          <w:szCs w:val="24"/>
        </w:rPr>
        <w:t>Manon Brière, administratrice ;</w:t>
      </w:r>
    </w:p>
    <w:p>
      <w:pPr>
        <w:pStyle w:val="Normal"/>
        <w:numPr>
          <w:ilvl w:val="0"/>
          <w:numId w:val="1"/>
        </w:numPr>
        <w:bidi w:val="0"/>
        <w:spacing w:lineRule="auto" w:line="240"/>
        <w:jc w:val="start"/>
        <w:rPr>
          <w:sz w:val="24"/>
          <w:szCs w:val="24"/>
        </w:rPr>
      </w:pPr>
      <w:r>
        <w:rPr>
          <w:sz w:val="24"/>
          <w:szCs w:val="24"/>
        </w:rPr>
        <w:t>Yves Plourde, administrateur ;</w:t>
      </w:r>
    </w:p>
    <w:p>
      <w:pPr>
        <w:pStyle w:val="Normal"/>
        <w:numPr>
          <w:ilvl w:val="0"/>
          <w:numId w:val="1"/>
        </w:numPr>
        <w:bidi w:val="0"/>
        <w:spacing w:lineRule="auto" w:line="240"/>
        <w:jc w:val="start"/>
        <w:rPr>
          <w:sz w:val="24"/>
          <w:szCs w:val="24"/>
        </w:rPr>
      </w:pPr>
      <w:r>
        <w:rPr>
          <w:sz w:val="24"/>
          <w:szCs w:val="24"/>
        </w:rPr>
        <w:t>Marjolaine Gravel, administratrice.</w:t>
      </w:r>
    </w:p>
    <w:p>
      <w:pPr>
        <w:pStyle w:val="Normal"/>
        <w:bidi w:val="0"/>
        <w:spacing w:lineRule="auto" w:line="240"/>
        <w:jc w:val="start"/>
        <w:rPr>
          <w:sz w:val="24"/>
          <w:szCs w:val="24"/>
        </w:rPr>
      </w:pPr>
      <w:r>
        <w:rPr>
          <w:sz w:val="24"/>
          <w:szCs w:val="24"/>
        </w:rPr>
      </w:r>
    </w:p>
    <w:p>
      <w:pPr>
        <w:pStyle w:val="Normal"/>
        <w:bidi w:val="0"/>
        <w:spacing w:lineRule="auto" w:line="240"/>
        <w:jc w:val="start"/>
        <w:rPr>
          <w:sz w:val="24"/>
          <w:szCs w:val="24"/>
        </w:rPr>
      </w:pPr>
      <w:r>
        <w:rPr>
          <w:sz w:val="24"/>
          <w:szCs w:val="24"/>
        </w:rPr>
        <w:t>*Michel Pigeon s’est retiré en cours d’année</w:t>
      </w:r>
    </w:p>
    <w:p>
      <w:pPr>
        <w:pStyle w:val="Heading1"/>
        <w:bidi w:val="0"/>
        <w:jc w:val="start"/>
        <w:rPr>
          <w:b/>
          <w:bCs/>
        </w:rPr>
      </w:pPr>
      <w:bookmarkStart w:id="9" w:name="__RefHeading___Toc11561_3997879255"/>
      <w:bookmarkStart w:id="10" w:name="_Toc231401468"/>
      <w:bookmarkEnd w:id="9"/>
      <w:r>
        <w:rPr>
          <w:b/>
          <w:bCs/>
        </w:rPr>
        <w:t>Remerciements</w:t>
      </w:r>
      <w:bookmarkEnd w:id="10"/>
    </w:p>
    <w:p>
      <w:pPr>
        <w:pStyle w:val="Normal"/>
        <w:bidi w:val="0"/>
        <w:jc w:val="start"/>
        <w:rPr/>
      </w:pPr>
      <w:r>
        <w:rPr/>
      </w:r>
    </w:p>
    <w:p>
      <w:pPr>
        <w:pStyle w:val="Normal"/>
        <w:bidi w:val="0"/>
        <w:jc w:val="start"/>
        <w:rPr/>
      </w:pPr>
      <w:r>
        <w:rPr/>
        <w:t>Nos bénévoles et partenaires sont des atouts importants;</w:t>
      </w:r>
    </w:p>
    <w:p>
      <w:pPr>
        <w:pStyle w:val="Normal"/>
        <w:bidi w:val="0"/>
        <w:jc w:val="start"/>
        <w:rPr/>
      </w:pPr>
      <w:r>
        <w:rPr/>
        <w:t>Merci à vous toutes et tous!</w:t>
      </w:r>
    </w:p>
    <w:p>
      <w:pPr>
        <w:pStyle w:val="Normal"/>
        <w:bidi w:val="0"/>
        <w:jc w:val="start"/>
        <w:rPr>
          <w:sz w:val="24"/>
          <w:szCs w:val="24"/>
        </w:rPr>
      </w:pPr>
      <w:r>
        <w:rPr>
          <w:sz w:val="24"/>
          <w:szCs w:val="24"/>
        </w:rPr>
      </w:r>
    </w:p>
    <w:p>
      <w:pPr>
        <w:pStyle w:val="Normal"/>
        <w:numPr>
          <w:ilvl w:val="0"/>
          <w:numId w:val="2"/>
        </w:numPr>
        <w:bidi w:val="0"/>
        <w:spacing w:lineRule="auto" w:line="240"/>
        <w:jc w:val="start"/>
        <w:rPr>
          <w:sz w:val="24"/>
          <w:szCs w:val="24"/>
        </w:rPr>
      </w:pPr>
      <w:r>
        <w:rPr>
          <w:sz w:val="24"/>
          <w:szCs w:val="24"/>
        </w:rPr>
        <w:t xml:space="preserve">Renée Caron; </w:t>
      </w:r>
    </w:p>
    <w:p>
      <w:pPr>
        <w:pStyle w:val="Normal"/>
        <w:numPr>
          <w:ilvl w:val="0"/>
          <w:numId w:val="2"/>
        </w:numPr>
        <w:bidi w:val="0"/>
        <w:spacing w:lineRule="auto" w:line="240"/>
        <w:jc w:val="start"/>
        <w:rPr>
          <w:sz w:val="24"/>
          <w:szCs w:val="24"/>
        </w:rPr>
      </w:pPr>
      <w:r>
        <w:rPr>
          <w:sz w:val="24"/>
          <w:szCs w:val="24"/>
        </w:rPr>
        <w:t>Christian Vaillant;</w:t>
      </w:r>
    </w:p>
    <w:p>
      <w:pPr>
        <w:pStyle w:val="Normal"/>
        <w:numPr>
          <w:ilvl w:val="0"/>
          <w:numId w:val="2"/>
        </w:numPr>
        <w:bidi w:val="0"/>
        <w:jc w:val="start"/>
        <w:rPr>
          <w:sz w:val="24"/>
          <w:szCs w:val="24"/>
        </w:rPr>
      </w:pPr>
      <w:r>
        <w:rPr>
          <w:sz w:val="24"/>
          <w:szCs w:val="24"/>
        </w:rPr>
        <w:t>Lise Gervais;</w:t>
      </w:r>
    </w:p>
    <w:p>
      <w:pPr>
        <w:pStyle w:val="Normal"/>
        <w:numPr>
          <w:ilvl w:val="0"/>
          <w:numId w:val="2"/>
        </w:numPr>
        <w:bidi w:val="0"/>
        <w:jc w:val="start"/>
        <w:rPr>
          <w:sz w:val="24"/>
          <w:szCs w:val="24"/>
        </w:rPr>
      </w:pPr>
      <w:r>
        <w:rPr>
          <w:sz w:val="24"/>
          <w:szCs w:val="24"/>
        </w:rPr>
        <w:t>Louise Harel ;</w:t>
      </w:r>
    </w:p>
    <w:p>
      <w:pPr>
        <w:pStyle w:val="Normal"/>
        <w:numPr>
          <w:ilvl w:val="0"/>
          <w:numId w:val="2"/>
        </w:numPr>
        <w:bidi w:val="0"/>
        <w:jc w:val="start"/>
        <w:rPr>
          <w:sz w:val="24"/>
          <w:szCs w:val="24"/>
        </w:rPr>
      </w:pPr>
      <w:r>
        <w:rPr>
          <w:sz w:val="24"/>
          <w:szCs w:val="24"/>
        </w:rPr>
        <w:t>Me Paul-Claude Bérubé ;</w:t>
      </w:r>
    </w:p>
    <w:p>
      <w:pPr>
        <w:pStyle w:val="Normal"/>
        <w:numPr>
          <w:ilvl w:val="0"/>
          <w:numId w:val="2"/>
        </w:numPr>
        <w:bidi w:val="0"/>
        <w:jc w:val="start"/>
        <w:rPr>
          <w:sz w:val="24"/>
          <w:szCs w:val="24"/>
        </w:rPr>
      </w:pPr>
      <w:r>
        <w:rPr>
          <w:sz w:val="24"/>
          <w:szCs w:val="24"/>
        </w:rPr>
        <w:t>Vincent Martin, Ana Rodriguez, Ariane Corbeil, Vicky Auger, Kevin Mc Lean et toute l’équipe de Club des personnes handicapées du Lac St-St-Louis</w:t>
      </w:r>
    </w:p>
    <w:p>
      <w:pPr>
        <w:pStyle w:val="Normal"/>
        <w:numPr>
          <w:ilvl w:val="0"/>
          <w:numId w:val="2"/>
        </w:numPr>
        <w:bidi w:val="0"/>
        <w:jc w:val="start"/>
        <w:rPr>
          <w:sz w:val="24"/>
          <w:szCs w:val="24"/>
        </w:rPr>
      </w:pPr>
      <w:r>
        <w:rPr>
          <w:sz w:val="24"/>
          <w:szCs w:val="24"/>
        </w:rPr>
        <w:t>Andrea Morrison ;</w:t>
      </w:r>
    </w:p>
    <w:p>
      <w:pPr>
        <w:pStyle w:val="Normal"/>
        <w:numPr>
          <w:ilvl w:val="0"/>
          <w:numId w:val="2"/>
        </w:numPr>
        <w:bidi w:val="0"/>
        <w:jc w:val="start"/>
        <w:rPr>
          <w:sz w:val="24"/>
          <w:szCs w:val="24"/>
        </w:rPr>
      </w:pPr>
      <w:r>
        <w:rPr>
          <w:sz w:val="24"/>
          <w:szCs w:val="24"/>
        </w:rPr>
        <w:t xml:space="preserve">Martine Lévesque; </w:t>
      </w:r>
    </w:p>
    <w:p>
      <w:pPr>
        <w:pStyle w:val="Normal"/>
        <w:numPr>
          <w:ilvl w:val="0"/>
          <w:numId w:val="2"/>
        </w:numPr>
        <w:bidi w:val="0"/>
        <w:jc w:val="start"/>
        <w:rPr>
          <w:sz w:val="24"/>
          <w:szCs w:val="24"/>
        </w:rPr>
      </w:pPr>
      <w:r>
        <w:rPr>
          <w:sz w:val="24"/>
          <w:szCs w:val="24"/>
        </w:rPr>
        <w:t>Michel Bédard :</w:t>
      </w:r>
    </w:p>
    <w:p>
      <w:pPr>
        <w:pStyle w:val="Normal"/>
        <w:numPr>
          <w:ilvl w:val="0"/>
          <w:numId w:val="2"/>
        </w:numPr>
        <w:bidi w:val="0"/>
        <w:jc w:val="start"/>
        <w:rPr>
          <w:sz w:val="24"/>
          <w:szCs w:val="24"/>
        </w:rPr>
      </w:pPr>
      <w:r>
        <w:rPr>
          <w:sz w:val="24"/>
          <w:szCs w:val="24"/>
        </w:rPr>
        <w:t xml:space="preserve">Dr. Pierre Duquette ; </w:t>
      </w:r>
    </w:p>
    <w:p>
      <w:pPr>
        <w:pStyle w:val="Normal"/>
        <w:numPr>
          <w:ilvl w:val="0"/>
          <w:numId w:val="2"/>
        </w:numPr>
        <w:bidi w:val="0"/>
        <w:jc w:val="start"/>
        <w:rPr>
          <w:sz w:val="24"/>
          <w:szCs w:val="24"/>
        </w:rPr>
      </w:pPr>
      <w:r>
        <w:rPr>
          <w:sz w:val="24"/>
          <w:szCs w:val="24"/>
        </w:rPr>
        <w:t>Line Bergeron ;</w:t>
      </w:r>
    </w:p>
    <w:p>
      <w:pPr>
        <w:pStyle w:val="Normal"/>
        <w:numPr>
          <w:ilvl w:val="0"/>
          <w:numId w:val="2"/>
        </w:numPr>
        <w:bidi w:val="0"/>
        <w:jc w:val="start"/>
        <w:rPr>
          <w:sz w:val="24"/>
          <w:szCs w:val="24"/>
        </w:rPr>
      </w:pPr>
      <w:r>
        <w:rPr>
          <w:sz w:val="24"/>
          <w:szCs w:val="24"/>
        </w:rPr>
        <w:t>Martin Dion ;</w:t>
      </w:r>
    </w:p>
    <w:p>
      <w:pPr>
        <w:pStyle w:val="Normal"/>
        <w:numPr>
          <w:ilvl w:val="0"/>
          <w:numId w:val="2"/>
        </w:numPr>
        <w:bidi w:val="0"/>
        <w:jc w:val="start"/>
        <w:rPr>
          <w:sz w:val="24"/>
          <w:szCs w:val="24"/>
        </w:rPr>
      </w:pPr>
      <w:r>
        <w:rPr>
          <w:sz w:val="24"/>
          <w:szCs w:val="24"/>
        </w:rPr>
        <w:t>Sarina Ferrara-Santone ;</w:t>
      </w:r>
    </w:p>
    <w:p>
      <w:pPr>
        <w:pStyle w:val="Normal"/>
        <w:numPr>
          <w:ilvl w:val="0"/>
          <w:numId w:val="2"/>
        </w:numPr>
        <w:bidi w:val="0"/>
        <w:jc w:val="start"/>
        <w:rPr>
          <w:sz w:val="24"/>
          <w:szCs w:val="24"/>
        </w:rPr>
      </w:pPr>
      <w:r>
        <w:rPr>
          <w:sz w:val="24"/>
          <w:szCs w:val="24"/>
        </w:rPr>
        <w:t>Fondation famille Brian Bronfman ;</w:t>
      </w:r>
    </w:p>
    <w:p>
      <w:pPr>
        <w:pStyle w:val="Normal"/>
        <w:numPr>
          <w:ilvl w:val="0"/>
          <w:numId w:val="2"/>
        </w:numPr>
        <w:bidi w:val="0"/>
        <w:jc w:val="start"/>
        <w:rPr>
          <w:sz w:val="24"/>
          <w:szCs w:val="24"/>
        </w:rPr>
      </w:pPr>
      <w:r>
        <w:rPr>
          <w:sz w:val="24"/>
          <w:szCs w:val="24"/>
        </w:rPr>
        <w:t>Michelle Turenne ;</w:t>
      </w:r>
    </w:p>
    <w:p>
      <w:pPr>
        <w:pStyle w:val="Normal"/>
        <w:numPr>
          <w:ilvl w:val="0"/>
          <w:numId w:val="2"/>
        </w:numPr>
        <w:bidi w:val="0"/>
        <w:jc w:val="start"/>
        <w:rPr>
          <w:sz w:val="24"/>
          <w:szCs w:val="24"/>
        </w:rPr>
      </w:pPr>
      <w:r>
        <w:rPr>
          <w:sz w:val="24"/>
          <w:szCs w:val="24"/>
        </w:rPr>
        <w:t>Simon Wong ;</w:t>
      </w:r>
    </w:p>
    <w:p>
      <w:pPr>
        <w:pStyle w:val="Normal"/>
        <w:keepNext w:val="true"/>
        <w:numPr>
          <w:ilvl w:val="0"/>
          <w:numId w:val="2"/>
        </w:numPr>
        <w:bidi w:val="0"/>
        <w:jc w:val="start"/>
        <w:rPr>
          <w:sz w:val="24"/>
          <w:szCs w:val="24"/>
        </w:rPr>
      </w:pPr>
      <w:r>
        <w:rPr>
          <w:sz w:val="24"/>
          <w:szCs w:val="24"/>
        </w:rPr>
        <w:t>Véronique Vézina ;</w:t>
      </w:r>
    </w:p>
    <w:p>
      <w:pPr>
        <w:pStyle w:val="Normal"/>
        <w:keepNext w:val="true"/>
        <w:numPr>
          <w:ilvl w:val="0"/>
          <w:numId w:val="2"/>
        </w:numPr>
        <w:bidi w:val="0"/>
        <w:jc w:val="start"/>
        <w:rPr>
          <w:sz w:val="24"/>
          <w:szCs w:val="24"/>
        </w:rPr>
      </w:pPr>
      <w:r>
        <w:rPr>
          <w:sz w:val="24"/>
          <w:szCs w:val="24"/>
        </w:rPr>
        <w:t>Charline Savard ;</w:t>
      </w:r>
    </w:p>
    <w:p>
      <w:pPr>
        <w:pStyle w:val="Normal"/>
        <w:keepNext w:val="true"/>
        <w:numPr>
          <w:ilvl w:val="0"/>
          <w:numId w:val="2"/>
        </w:numPr>
        <w:bidi w:val="0"/>
        <w:jc w:val="start"/>
        <w:rPr>
          <w:sz w:val="24"/>
          <w:szCs w:val="24"/>
        </w:rPr>
      </w:pPr>
      <w:r>
        <w:rPr>
          <w:sz w:val="24"/>
          <w:szCs w:val="24"/>
        </w:rPr>
        <w:t>Nos stagiaires 2026 en travail social de l’UQAM: Stella Tremblay, Joey Wilson, Marianne Desjardins ainsi que l’équipe d’enseignantes.</w:t>
      </w:r>
    </w:p>
    <w:p>
      <w:pPr>
        <w:pStyle w:val="Normal"/>
        <w:bidi w:val="0"/>
        <w:jc w:val="start"/>
        <w:rPr/>
      </w:pPr>
      <w:r>
        <w:rPr/>
      </w:r>
      <w:bookmarkStart w:id="11" w:name="_s640dohxh8o4"/>
      <w:bookmarkStart w:id="12" w:name="_s640dohxh8o4"/>
      <w:bookmarkEnd w:id="12"/>
    </w:p>
    <w:p>
      <w:pPr>
        <w:pStyle w:val="Heading1"/>
        <w:bidi w:val="0"/>
        <w:jc w:val="start"/>
        <w:rPr>
          <w:b/>
          <w:bCs/>
        </w:rPr>
      </w:pPr>
      <w:bookmarkStart w:id="13" w:name="__RefHeading___Toc11563_3997879255"/>
      <w:bookmarkStart w:id="14" w:name="_Toc231401469"/>
      <w:bookmarkEnd w:id="13"/>
      <w:r>
        <w:rPr>
          <w:b/>
          <w:bCs/>
        </w:rPr>
        <w:t>Membres</w:t>
      </w:r>
      <w:bookmarkEnd w:id="14"/>
    </w:p>
    <w:p>
      <w:pPr>
        <w:pStyle w:val="Normal"/>
        <w:bidi w:val="0"/>
        <w:spacing w:lineRule="auto" w:line="240"/>
        <w:jc w:val="start"/>
        <w:rPr>
          <w:sz w:val="24"/>
          <w:szCs w:val="24"/>
        </w:rPr>
      </w:pPr>
      <w:r>
        <w:rPr>
          <w:sz w:val="24"/>
          <w:szCs w:val="24"/>
        </w:rPr>
      </w:r>
    </w:p>
    <w:p>
      <w:pPr>
        <w:pStyle w:val="Normal"/>
        <w:bidi w:val="0"/>
        <w:spacing w:lineRule="auto" w:line="240"/>
        <w:jc w:val="both"/>
        <w:rPr>
          <w:sz w:val="24"/>
          <w:szCs w:val="24"/>
        </w:rPr>
      </w:pPr>
      <w:r>
        <w:rPr/>
        <w:t>Le</w:t>
      </w:r>
      <w:r>
        <w:rPr>
          <w:sz w:val="24"/>
          <w:szCs w:val="24"/>
        </w:rPr>
        <w:t xml:space="preserve"> RAPLIQ compt</w:t>
      </w:r>
      <w:r>
        <w:rPr/>
        <w:t>e</w:t>
      </w:r>
      <w:r>
        <w:rPr>
          <w:sz w:val="24"/>
          <w:szCs w:val="24"/>
        </w:rPr>
        <w:t xml:space="preserve"> sur l’appui de 199 membres individuels et </w:t>
      </w:r>
      <w:r>
        <w:rPr/>
        <w:t>treize (10)</w:t>
      </w:r>
      <w:r>
        <w:rPr>
          <w:sz w:val="24"/>
          <w:szCs w:val="24"/>
        </w:rPr>
        <w:t xml:space="preserve"> membres collectifs :   </w:t>
      </w:r>
    </w:p>
    <w:p>
      <w:pPr>
        <w:pStyle w:val="Normal"/>
        <w:bidi w:val="0"/>
        <w:spacing w:lineRule="auto" w:line="240"/>
        <w:jc w:val="both"/>
        <w:rPr>
          <w:sz w:val="24"/>
          <w:szCs w:val="24"/>
        </w:rPr>
      </w:pPr>
      <w:r>
        <w:rPr>
          <w:sz w:val="24"/>
          <w:szCs w:val="24"/>
        </w:rPr>
      </w:r>
    </w:p>
    <w:p>
      <w:pPr>
        <w:pStyle w:val="Normal"/>
        <w:numPr>
          <w:ilvl w:val="0"/>
          <w:numId w:val="3"/>
        </w:numPr>
        <w:bidi w:val="0"/>
        <w:spacing w:lineRule="auto" w:line="240"/>
        <w:jc w:val="both"/>
        <w:rPr>
          <w:sz w:val="24"/>
          <w:szCs w:val="24"/>
        </w:rPr>
      </w:pPr>
      <w:r>
        <w:rPr/>
        <w:t>RAAMM</w:t>
      </w:r>
    </w:p>
    <w:p>
      <w:pPr>
        <w:pStyle w:val="Normal"/>
        <w:numPr>
          <w:ilvl w:val="0"/>
          <w:numId w:val="3"/>
        </w:numPr>
        <w:bidi w:val="0"/>
        <w:spacing w:lineRule="auto" w:line="240"/>
        <w:jc w:val="both"/>
        <w:rPr>
          <w:sz w:val="24"/>
          <w:szCs w:val="24"/>
        </w:rPr>
      </w:pPr>
      <w:r>
        <w:rPr>
          <w:sz w:val="24"/>
          <w:szCs w:val="24"/>
        </w:rPr>
        <w:t>Fondation CNIB INCA</w:t>
      </w:r>
    </w:p>
    <w:p>
      <w:pPr>
        <w:pStyle w:val="Normal"/>
        <w:numPr>
          <w:ilvl w:val="0"/>
          <w:numId w:val="3"/>
        </w:numPr>
        <w:bidi w:val="0"/>
        <w:spacing w:lineRule="auto" w:line="240"/>
        <w:jc w:val="both"/>
        <w:rPr>
          <w:sz w:val="24"/>
          <w:szCs w:val="24"/>
        </w:rPr>
      </w:pPr>
      <w:r>
        <w:rPr>
          <w:sz w:val="24"/>
          <w:szCs w:val="24"/>
        </w:rPr>
        <w:t xml:space="preserve">Main Forte </w:t>
      </w:r>
      <w:r>
        <w:rPr/>
        <w:t>Montréal Inc.</w:t>
      </w:r>
    </w:p>
    <w:p>
      <w:pPr>
        <w:pStyle w:val="Normal"/>
        <w:numPr>
          <w:ilvl w:val="0"/>
          <w:numId w:val="3"/>
        </w:numPr>
        <w:bidi w:val="0"/>
        <w:spacing w:lineRule="auto" w:line="240"/>
        <w:jc w:val="both"/>
        <w:rPr>
          <w:sz w:val="24"/>
          <w:szCs w:val="24"/>
        </w:rPr>
      </w:pPr>
      <w:r>
        <w:rPr>
          <w:sz w:val="24"/>
          <w:szCs w:val="24"/>
        </w:rPr>
        <w:t>Amalgame</w:t>
      </w:r>
    </w:p>
    <w:p>
      <w:pPr>
        <w:pStyle w:val="Normal"/>
        <w:numPr>
          <w:ilvl w:val="0"/>
          <w:numId w:val="3"/>
        </w:numPr>
        <w:bidi w:val="0"/>
        <w:spacing w:lineRule="auto" w:line="240"/>
        <w:jc w:val="both"/>
        <w:rPr>
          <w:sz w:val="24"/>
          <w:szCs w:val="24"/>
        </w:rPr>
      </w:pPr>
      <w:r>
        <w:rPr>
          <w:sz w:val="24"/>
          <w:szCs w:val="24"/>
        </w:rPr>
        <w:t>Vie Autonome Montréal</w:t>
      </w:r>
    </w:p>
    <w:p>
      <w:pPr>
        <w:pStyle w:val="Normal"/>
        <w:numPr>
          <w:ilvl w:val="0"/>
          <w:numId w:val="3"/>
        </w:numPr>
        <w:bidi w:val="0"/>
        <w:spacing w:lineRule="auto" w:line="240"/>
        <w:jc w:val="both"/>
        <w:rPr>
          <w:sz w:val="24"/>
          <w:szCs w:val="24"/>
        </w:rPr>
      </w:pPr>
      <w:r>
        <w:rPr>
          <w:sz w:val="24"/>
          <w:szCs w:val="24"/>
        </w:rPr>
        <w:t>ROP-03</w:t>
      </w:r>
    </w:p>
    <w:p>
      <w:pPr>
        <w:pStyle w:val="Normal"/>
        <w:numPr>
          <w:ilvl w:val="0"/>
          <w:numId w:val="3"/>
        </w:numPr>
        <w:bidi w:val="0"/>
        <w:spacing w:lineRule="auto" w:line="240"/>
        <w:jc w:val="both"/>
        <w:rPr>
          <w:sz w:val="24"/>
          <w:szCs w:val="24"/>
        </w:rPr>
      </w:pPr>
      <w:r>
        <w:rPr>
          <w:sz w:val="24"/>
          <w:szCs w:val="24"/>
        </w:rPr>
        <w:t>Maison des Femmes Sourdes de Montréal</w:t>
      </w:r>
    </w:p>
    <w:p>
      <w:pPr>
        <w:pStyle w:val="Normal"/>
        <w:numPr>
          <w:ilvl w:val="0"/>
          <w:numId w:val="3"/>
        </w:numPr>
        <w:bidi w:val="0"/>
        <w:spacing w:lineRule="auto" w:line="240"/>
        <w:jc w:val="both"/>
        <w:rPr>
          <w:sz w:val="24"/>
          <w:szCs w:val="24"/>
        </w:rPr>
      </w:pPr>
      <w:r>
        <w:rPr>
          <w:sz w:val="24"/>
          <w:szCs w:val="24"/>
        </w:rPr>
        <w:t>L’AMASQ</w:t>
      </w:r>
    </w:p>
    <w:p>
      <w:pPr>
        <w:pStyle w:val="Normal"/>
        <w:numPr>
          <w:ilvl w:val="0"/>
          <w:numId w:val="3"/>
        </w:numPr>
        <w:bidi w:val="0"/>
        <w:spacing w:lineRule="auto" w:line="240"/>
        <w:jc w:val="both"/>
        <w:rPr>
          <w:sz w:val="24"/>
          <w:szCs w:val="24"/>
        </w:rPr>
      </w:pPr>
      <w:r>
        <w:rPr>
          <w:sz w:val="24"/>
          <w:szCs w:val="24"/>
        </w:rPr>
        <w:t>Réseau pour la Paix et l'Harmonie Sociale</w:t>
      </w:r>
    </w:p>
    <w:p>
      <w:pPr>
        <w:pStyle w:val="Normal"/>
        <w:numPr>
          <w:ilvl w:val="0"/>
          <w:numId w:val="3"/>
        </w:numPr>
        <w:bidi w:val="0"/>
        <w:spacing w:lineRule="auto" w:line="240"/>
        <w:jc w:val="both"/>
        <w:rPr>
          <w:sz w:val="24"/>
          <w:szCs w:val="24"/>
        </w:rPr>
      </w:pPr>
      <w:r>
        <w:rPr>
          <w:sz w:val="24"/>
          <w:szCs w:val="24"/>
        </w:rPr>
        <w:t>AMEIPH</w:t>
      </w:r>
    </w:p>
    <w:p>
      <w:pPr>
        <w:pStyle w:val="Normal"/>
        <w:bidi w:val="0"/>
        <w:spacing w:lineRule="auto" w:line="240"/>
        <w:jc w:val="both"/>
        <w:rPr>
          <w:sz w:val="24"/>
          <w:szCs w:val="24"/>
        </w:rPr>
      </w:pPr>
      <w:r>
        <w:rPr>
          <w:sz w:val="24"/>
          <w:szCs w:val="24"/>
        </w:rPr>
      </w:r>
    </w:p>
    <w:p>
      <w:pPr>
        <w:pStyle w:val="Normal"/>
        <w:pBdr>
          <w:top w:val="single" w:sz="4" w:space="1" w:color="000000"/>
          <w:left w:val="single" w:sz="4" w:space="1" w:color="000000"/>
          <w:bottom w:val="single" w:sz="4" w:space="1" w:color="000000"/>
          <w:right w:val="single" w:sz="4" w:space="1" w:color="000000"/>
        </w:pBdr>
        <w:bidi w:val="0"/>
        <w:spacing w:lineRule="auto" w:line="240"/>
        <w:jc w:val="center"/>
        <w:rPr>
          <w:b/>
          <w:bCs/>
          <w:sz w:val="24"/>
          <w:szCs w:val="24"/>
        </w:rPr>
      </w:pPr>
      <w:r>
        <w:rPr>
          <w:b/>
          <w:bCs/>
          <w:sz w:val="24"/>
          <w:szCs w:val="24"/>
        </w:rPr>
        <w:t>Merci à chacune et chacun d’entre vous.</w:t>
      </w:r>
    </w:p>
    <w:p>
      <w:pPr>
        <w:pStyle w:val="Normal"/>
        <w:pBdr>
          <w:top w:val="single" w:sz="4" w:space="1" w:color="000000"/>
          <w:left w:val="single" w:sz="4" w:space="1" w:color="000000"/>
          <w:bottom w:val="single" w:sz="4" w:space="1" w:color="000000"/>
          <w:right w:val="single" w:sz="4" w:space="1" w:color="000000"/>
        </w:pBdr>
        <w:bidi w:val="0"/>
        <w:spacing w:lineRule="auto" w:line="240"/>
        <w:jc w:val="center"/>
        <w:rPr>
          <w:b/>
          <w:bCs/>
          <w:sz w:val="24"/>
          <w:szCs w:val="24"/>
          <w:shd w:fill="FFFFFF" w:val="clear"/>
        </w:rPr>
      </w:pPr>
      <w:r>
        <w:rPr>
          <w:sz w:val="24"/>
          <w:szCs w:val="24"/>
        </w:rPr>
        <w:t>Votre engagement nous permet de donner le meilleur de nous-mêmes. Ensemble, nous portons le changement et contribuons concrètement à bâtir une société plus juste et inclusive</w:t>
      </w:r>
    </w:p>
    <w:p>
      <w:pPr>
        <w:pStyle w:val="Normal"/>
        <w:bidi w:val="0"/>
        <w:spacing w:lineRule="auto" w:line="240"/>
        <w:jc w:val="start"/>
        <w:rPr>
          <w:sz w:val="40"/>
          <w:szCs w:val="40"/>
        </w:rPr>
      </w:pPr>
      <w:r>
        <w:rPr>
          <w:sz w:val="40"/>
          <w:szCs w:val="40"/>
        </w:rPr>
      </w:r>
    </w:p>
    <w:p>
      <w:pPr>
        <w:pStyle w:val="Heading1"/>
        <w:bidi w:val="0"/>
        <w:jc w:val="start"/>
        <w:rPr>
          <w:b/>
          <w:bCs/>
        </w:rPr>
      </w:pPr>
      <w:bookmarkStart w:id="15" w:name="__RefHeading___Toc11565_3997879255"/>
      <w:bookmarkStart w:id="16" w:name="_Toc231401470"/>
      <w:bookmarkEnd w:id="15"/>
      <w:r>
        <w:rPr>
          <w:b/>
          <w:bCs/>
        </w:rPr>
        <w:t>Fonctionnement démocratique</w:t>
      </w:r>
      <w:bookmarkEnd w:id="16"/>
      <w:r>
        <w:rPr>
          <w:b/>
          <w:bCs/>
        </w:rPr>
        <w:t xml:space="preserve"> </w:t>
      </w:r>
    </w:p>
    <w:p>
      <w:pPr>
        <w:pStyle w:val="Normal"/>
        <w:bidi w:val="0"/>
        <w:spacing w:lineRule="auto" w:line="240"/>
        <w:jc w:val="both"/>
        <w:rPr>
          <w:sz w:val="24"/>
          <w:szCs w:val="24"/>
          <w:shd w:fill="FFFF00" w:val="clear"/>
        </w:rPr>
      </w:pPr>
      <w:r>
        <w:rPr>
          <w:sz w:val="24"/>
          <w:szCs w:val="24"/>
          <w:shd w:fill="FFFF00" w:val="clear"/>
        </w:rPr>
      </w:r>
    </w:p>
    <w:p>
      <w:pPr>
        <w:pStyle w:val="Normal"/>
        <w:bidi w:val="0"/>
        <w:spacing w:lineRule="auto" w:line="240"/>
        <w:jc w:val="both"/>
        <w:rPr>
          <w:sz w:val="24"/>
          <w:szCs w:val="24"/>
          <w:shd w:fill="FFFFFF" w:val="clear"/>
        </w:rPr>
      </w:pPr>
      <w:r>
        <w:rPr>
          <w:sz w:val="24"/>
          <w:szCs w:val="24"/>
          <w:shd w:fill="FFFFFF" w:val="clear"/>
        </w:rPr>
        <w:t>L’assemblée générale annuelle a eu lieu le 31 mai 2025: 22 membres y ont participé en personne ou en vidéoconférence.</w:t>
      </w:r>
    </w:p>
    <w:p>
      <w:pPr>
        <w:pStyle w:val="Normal"/>
        <w:bidi w:val="0"/>
        <w:spacing w:lineRule="auto" w:line="240"/>
        <w:jc w:val="start"/>
        <w:rPr>
          <w:sz w:val="24"/>
          <w:szCs w:val="24"/>
          <w:shd w:fill="FFFF00" w:val="clear"/>
        </w:rPr>
      </w:pPr>
      <w:r>
        <w:rPr>
          <w:sz w:val="24"/>
          <w:szCs w:val="24"/>
          <w:shd w:fill="FFFF00" w:val="clear"/>
        </w:rPr>
      </w:r>
    </w:p>
    <w:p>
      <w:pPr>
        <w:pStyle w:val="Heading2"/>
        <w:bidi w:val="0"/>
        <w:jc w:val="start"/>
        <w:rPr>
          <w:b/>
          <w:bCs/>
          <w:sz w:val="40"/>
          <w:szCs w:val="40"/>
        </w:rPr>
      </w:pPr>
      <w:bookmarkStart w:id="17" w:name="__RefHeading___Toc11567_3997879255"/>
      <w:bookmarkStart w:id="18" w:name="_Toc231401471"/>
      <w:bookmarkEnd w:id="17"/>
      <w:r>
        <w:rPr>
          <w:b/>
          <w:bCs/>
          <w:sz w:val="40"/>
          <w:szCs w:val="40"/>
        </w:rPr>
        <w:t>Réunions du conseil d’administration</w:t>
      </w:r>
      <w:bookmarkEnd w:id="18"/>
    </w:p>
    <w:p>
      <w:pPr>
        <w:pStyle w:val="Heading4"/>
        <w:keepNext w:val="false"/>
        <w:keepLines w:val="false"/>
        <w:bidi w:val="0"/>
        <w:spacing w:lineRule="auto" w:line="240" w:before="240" w:after="40"/>
        <w:jc w:val="both"/>
        <w:rPr>
          <w:color w:val="000000"/>
          <w:sz w:val="22"/>
          <w:szCs w:val="22"/>
          <w:shd w:fill="FFFFFF" w:val="clear"/>
        </w:rPr>
      </w:pPr>
      <w:r>
        <w:rPr>
          <w:color w:val="000000"/>
          <w:sz w:val="22"/>
          <w:szCs w:val="22"/>
          <w:shd w:fill="FFFFFF" w:val="clear"/>
        </w:rPr>
        <w:t>Séances régulières du conseil d’administration</w:t>
      </w:r>
    </w:p>
    <w:p>
      <w:pPr>
        <w:pStyle w:val="Normal"/>
        <w:numPr>
          <w:ilvl w:val="0"/>
          <w:numId w:val="4"/>
        </w:numPr>
        <w:bidi w:val="0"/>
        <w:spacing w:lineRule="auto" w:line="240" w:before="240" w:after="240"/>
        <w:jc w:val="start"/>
        <w:rPr>
          <w:shd w:fill="FFFFFF" w:val="clear"/>
        </w:rPr>
      </w:pPr>
      <w:r>
        <w:rPr>
          <w:sz w:val="23"/>
          <w:szCs w:val="23"/>
          <w:shd w:fill="FFFFFF" w:val="clear"/>
        </w:rPr>
        <w:t>1er mai 2025, 3 septembre 2025, 30 octobre 2025, 15 janvier 2026 et 12 mars 2026</w:t>
      </w:r>
    </w:p>
    <w:p>
      <w:pPr>
        <w:pStyle w:val="Heading4"/>
        <w:keepNext w:val="false"/>
        <w:keepLines w:val="false"/>
        <w:bidi w:val="0"/>
        <w:spacing w:lineRule="auto" w:line="240" w:before="240" w:after="40"/>
        <w:jc w:val="both"/>
        <w:rPr>
          <w:color w:val="000000"/>
          <w:sz w:val="22"/>
          <w:szCs w:val="22"/>
          <w:shd w:fill="FFFFFF" w:val="clear"/>
        </w:rPr>
      </w:pPr>
      <w:r>
        <w:rPr>
          <w:color w:val="000000"/>
          <w:sz w:val="22"/>
          <w:szCs w:val="22"/>
          <w:shd w:fill="FFFFFF" w:val="clear"/>
        </w:rPr>
        <w:t>Séances extraordinaires du conseil d’administration</w:t>
      </w:r>
    </w:p>
    <w:p>
      <w:pPr>
        <w:pStyle w:val="Normal"/>
        <w:numPr>
          <w:ilvl w:val="0"/>
          <w:numId w:val="5"/>
        </w:numPr>
        <w:bidi w:val="0"/>
        <w:spacing w:lineRule="auto" w:line="240" w:before="240" w:after="240"/>
        <w:jc w:val="start"/>
        <w:rPr>
          <w:shd w:fill="FFFFFF" w:val="clear"/>
        </w:rPr>
      </w:pPr>
      <w:r>
        <w:rPr>
          <w:sz w:val="23"/>
          <w:szCs w:val="23"/>
          <w:shd w:fill="FFFFFF" w:val="clear"/>
        </w:rPr>
        <w:t>26 juin 2025, 15 juillet 2025, 2 octobre 2025, 21 octobre 2025, et 12 décembre 2025</w:t>
      </w:r>
    </w:p>
    <w:p>
      <w:pPr>
        <w:pStyle w:val="Normal"/>
        <w:bidi w:val="0"/>
        <w:spacing w:lineRule="auto" w:line="240" w:before="240" w:after="240"/>
        <w:ind w:start="720"/>
        <w:jc w:val="start"/>
        <w:rPr>
          <w:sz w:val="23"/>
          <w:szCs w:val="23"/>
          <w:shd w:fill="DADFE5" w:val="clear"/>
        </w:rPr>
      </w:pPr>
      <w:r>
        <w:rPr>
          <w:sz w:val="23"/>
          <w:szCs w:val="23"/>
          <w:shd w:fill="DADFE5" w:val="clear"/>
        </w:rPr>
      </w:r>
    </w:p>
    <w:p>
      <w:pPr>
        <w:pStyle w:val="Heading2"/>
        <w:bidi w:val="0"/>
        <w:jc w:val="start"/>
        <w:rPr>
          <w:b/>
          <w:bCs/>
          <w:sz w:val="40"/>
          <w:szCs w:val="40"/>
        </w:rPr>
      </w:pPr>
      <w:bookmarkStart w:id="19" w:name="__RefHeading___Toc11569_3997879255"/>
      <w:bookmarkStart w:id="20" w:name="_Toc231401472"/>
      <w:bookmarkStart w:id="21" w:name="_cdh5hcoa7bf4"/>
      <w:bookmarkEnd w:id="19"/>
      <w:bookmarkEnd w:id="21"/>
      <w:r>
        <w:rPr>
          <w:b/>
          <w:bCs/>
          <w:sz w:val="40"/>
          <w:szCs w:val="40"/>
          <w:shd w:fill="FFFFFF" w:val="clear"/>
        </w:rPr>
        <w:t>Gouvernance</w:t>
      </w:r>
      <w:bookmarkEnd w:id="20"/>
    </w:p>
    <w:p>
      <w:pPr>
        <w:pStyle w:val="Heading4"/>
        <w:bidi w:val="0"/>
        <w:jc w:val="start"/>
        <w:rPr>
          <w:color w:val="000000"/>
        </w:rPr>
      </w:pPr>
      <w:bookmarkStart w:id="22" w:name="_srofewixnj2"/>
      <w:bookmarkEnd w:id="22"/>
      <w:r>
        <w:rPr>
          <w:color w:val="000000"/>
          <w:shd w:fill="FFFFFF" w:val="clear"/>
        </w:rPr>
        <w:t>Une gouvernance engagée, militante et structurante</w:t>
      </w:r>
    </w:p>
    <w:p>
      <w:pPr>
        <w:pStyle w:val="Normal"/>
        <w:bidi w:val="0"/>
        <w:spacing w:lineRule="auto" w:line="240" w:before="240" w:after="240"/>
        <w:jc w:val="start"/>
        <w:rPr>
          <w:sz w:val="24"/>
          <w:szCs w:val="24"/>
          <w:shd w:fill="FFFFFF" w:val="clear"/>
        </w:rPr>
      </w:pPr>
      <w:r>
        <w:rPr>
          <w:sz w:val="24"/>
          <w:szCs w:val="24"/>
          <w:shd w:fill="FFFFFF" w:val="clear"/>
        </w:rPr>
        <w:t>Le RAPLIQ poursuit son développement en s’appuyant sur une gouvernance active, rigoureuse et profondément enracinée dans les valeurs de défense collective des droits des personnes handicapées.</w:t>
      </w:r>
    </w:p>
    <w:p>
      <w:pPr>
        <w:pStyle w:val="Normal"/>
        <w:bidi w:val="0"/>
        <w:spacing w:lineRule="auto" w:line="240" w:before="240" w:after="240"/>
        <w:jc w:val="start"/>
        <w:rPr>
          <w:sz w:val="24"/>
          <w:szCs w:val="24"/>
          <w:shd w:fill="FFFFFF" w:val="clear"/>
        </w:rPr>
      </w:pPr>
      <w:r>
        <w:rPr>
          <w:sz w:val="24"/>
          <w:szCs w:val="24"/>
          <w:shd w:fill="FFFFFF" w:val="clear"/>
        </w:rPr>
        <w:t>Tout au long de l’année 2025-2026, le conseil d’administration a assuré un suivi constant des dossiers prioritaires de l’organisation, dans un contexte social et politique particulièrement exigeant. Les membres du conseil ont contribué aux réflexions stratégiques, à l’analyse des enjeux émergents ainsi qu’au positionnement public du RAPLIQ sur plusieurs dossiers majeurs touchant notamment :</w:t>
      </w:r>
    </w:p>
    <w:p>
      <w:pPr>
        <w:pStyle w:val="Normal"/>
        <w:numPr>
          <w:ilvl w:val="0"/>
          <w:numId w:val="6"/>
        </w:numPr>
        <w:bidi w:val="0"/>
        <w:spacing w:lineRule="auto" w:line="240" w:before="240" w:after="0"/>
        <w:jc w:val="start"/>
        <w:rPr>
          <w:sz w:val="24"/>
          <w:szCs w:val="24"/>
          <w:shd w:fill="FFFFFF" w:val="clear"/>
        </w:rPr>
      </w:pPr>
      <w:r>
        <w:rPr>
          <w:sz w:val="24"/>
          <w:szCs w:val="24"/>
          <w:shd w:fill="FFFFFF" w:val="clear"/>
        </w:rPr>
        <w:t>le soutien à domicile ;</w:t>
      </w:r>
    </w:p>
    <w:p>
      <w:pPr>
        <w:pStyle w:val="Normal"/>
        <w:numPr>
          <w:ilvl w:val="0"/>
          <w:numId w:val="6"/>
        </w:numPr>
        <w:bidi w:val="0"/>
        <w:spacing w:lineRule="auto" w:line="240"/>
        <w:jc w:val="start"/>
        <w:rPr>
          <w:sz w:val="24"/>
          <w:szCs w:val="24"/>
          <w:shd w:fill="FFFFFF" w:val="clear"/>
        </w:rPr>
      </w:pPr>
      <w:r>
        <w:rPr>
          <w:sz w:val="24"/>
          <w:szCs w:val="24"/>
          <w:shd w:fill="FFFFFF" w:val="clear"/>
        </w:rPr>
        <w:t>le transport adapté ;</w:t>
      </w:r>
    </w:p>
    <w:p>
      <w:pPr>
        <w:pStyle w:val="Normal"/>
        <w:numPr>
          <w:ilvl w:val="0"/>
          <w:numId w:val="6"/>
        </w:numPr>
        <w:bidi w:val="0"/>
        <w:spacing w:lineRule="auto" w:line="240"/>
        <w:jc w:val="start"/>
        <w:rPr>
          <w:sz w:val="24"/>
          <w:szCs w:val="24"/>
          <w:shd w:fill="FFFFFF" w:val="clear"/>
        </w:rPr>
      </w:pPr>
      <w:r>
        <w:rPr>
          <w:sz w:val="24"/>
          <w:szCs w:val="24"/>
          <w:shd w:fill="FFFFFF" w:val="clear"/>
        </w:rPr>
        <w:t>l’accessibilité universelle ;</w:t>
      </w:r>
    </w:p>
    <w:p>
      <w:pPr>
        <w:pStyle w:val="Normal"/>
        <w:numPr>
          <w:ilvl w:val="0"/>
          <w:numId w:val="6"/>
        </w:numPr>
        <w:bidi w:val="0"/>
        <w:spacing w:lineRule="auto" w:line="240"/>
        <w:jc w:val="start"/>
        <w:rPr>
          <w:sz w:val="24"/>
          <w:szCs w:val="24"/>
          <w:shd w:fill="FFFFFF" w:val="clear"/>
        </w:rPr>
      </w:pPr>
      <w:r>
        <w:rPr>
          <w:sz w:val="24"/>
          <w:szCs w:val="24"/>
          <w:shd w:fill="FFFFFF" w:val="clear"/>
        </w:rPr>
        <w:t>la santé ;</w:t>
      </w:r>
    </w:p>
    <w:p>
      <w:pPr>
        <w:pStyle w:val="Normal"/>
        <w:numPr>
          <w:ilvl w:val="0"/>
          <w:numId w:val="6"/>
        </w:numPr>
        <w:bidi w:val="0"/>
        <w:spacing w:lineRule="auto" w:line="240" w:before="0" w:after="240"/>
        <w:jc w:val="start"/>
        <w:rPr>
          <w:sz w:val="24"/>
          <w:szCs w:val="24"/>
          <w:shd w:fill="FFFFFF" w:val="clear"/>
        </w:rPr>
      </w:pPr>
      <w:r>
        <w:rPr>
          <w:sz w:val="24"/>
          <w:szCs w:val="24"/>
          <w:shd w:fill="FFFFFF" w:val="clear"/>
        </w:rPr>
        <w:t>les droits fondamentaux des personnes handicapées.</w:t>
      </w:r>
    </w:p>
    <w:p>
      <w:pPr>
        <w:pStyle w:val="Normal"/>
        <w:bidi w:val="0"/>
        <w:spacing w:lineRule="auto" w:line="240" w:before="240" w:after="240"/>
        <w:jc w:val="start"/>
        <w:rPr>
          <w:sz w:val="24"/>
          <w:szCs w:val="24"/>
          <w:shd w:fill="FFFFFF" w:val="clear"/>
        </w:rPr>
      </w:pPr>
      <w:r>
        <w:rPr>
          <w:sz w:val="24"/>
          <w:szCs w:val="24"/>
          <w:shd w:fill="FFFFFF" w:val="clear"/>
        </w:rPr>
        <w:t>Conformément aux bonnes pratiques reconnues en gouvernance d’OBNL, le conseil d’administration a veillé à assurer :</w:t>
      </w:r>
    </w:p>
    <w:p>
      <w:pPr>
        <w:pStyle w:val="Normal"/>
        <w:numPr>
          <w:ilvl w:val="0"/>
          <w:numId w:val="7"/>
        </w:numPr>
        <w:bidi w:val="0"/>
        <w:spacing w:lineRule="auto" w:line="240" w:before="240" w:after="0"/>
        <w:jc w:val="start"/>
        <w:rPr>
          <w:sz w:val="24"/>
          <w:szCs w:val="24"/>
          <w:shd w:fill="FFFFFF" w:val="clear"/>
        </w:rPr>
      </w:pPr>
      <w:r>
        <w:rPr>
          <w:sz w:val="24"/>
          <w:szCs w:val="24"/>
          <w:shd w:fill="FFFFFF" w:val="clear"/>
        </w:rPr>
        <w:t>la saine gestion de l’organisation ;</w:t>
      </w:r>
    </w:p>
    <w:p>
      <w:pPr>
        <w:pStyle w:val="Normal"/>
        <w:numPr>
          <w:ilvl w:val="0"/>
          <w:numId w:val="7"/>
        </w:numPr>
        <w:bidi w:val="0"/>
        <w:spacing w:lineRule="auto" w:line="240"/>
        <w:jc w:val="start"/>
        <w:rPr>
          <w:sz w:val="24"/>
          <w:szCs w:val="24"/>
          <w:shd w:fill="FFFFFF" w:val="clear"/>
        </w:rPr>
      </w:pPr>
      <w:r>
        <w:rPr>
          <w:sz w:val="24"/>
          <w:szCs w:val="24"/>
          <w:shd w:fill="FFFFFF" w:val="clear"/>
        </w:rPr>
        <w:t>la continuité de la mission ;</w:t>
      </w:r>
    </w:p>
    <w:p>
      <w:pPr>
        <w:pStyle w:val="Normal"/>
        <w:numPr>
          <w:ilvl w:val="0"/>
          <w:numId w:val="7"/>
        </w:numPr>
        <w:bidi w:val="0"/>
        <w:spacing w:lineRule="auto" w:line="240"/>
        <w:jc w:val="start"/>
        <w:rPr>
          <w:sz w:val="24"/>
          <w:szCs w:val="24"/>
          <w:shd w:fill="FFFFFF" w:val="clear"/>
        </w:rPr>
      </w:pPr>
      <w:r>
        <w:rPr>
          <w:sz w:val="24"/>
          <w:szCs w:val="24"/>
          <w:shd w:fill="FFFFFF" w:val="clear"/>
        </w:rPr>
        <w:t>la viabilité financière ;</w:t>
      </w:r>
    </w:p>
    <w:p>
      <w:pPr>
        <w:pStyle w:val="Normal"/>
        <w:numPr>
          <w:ilvl w:val="0"/>
          <w:numId w:val="7"/>
        </w:numPr>
        <w:bidi w:val="0"/>
        <w:spacing w:lineRule="auto" w:line="240" w:before="0" w:after="240"/>
        <w:jc w:val="start"/>
        <w:rPr>
          <w:sz w:val="24"/>
          <w:szCs w:val="24"/>
          <w:shd w:fill="FFFFFF" w:val="clear"/>
        </w:rPr>
      </w:pPr>
      <w:r>
        <w:rPr>
          <w:sz w:val="24"/>
          <w:szCs w:val="24"/>
          <w:shd w:fill="FFFFFF" w:val="clear"/>
        </w:rPr>
        <w:t>le respect des orientations stratégiques du RAPLIQ. [</w:t>
      </w:r>
      <w:hyperlink r:id="rId6">
        <w:r>
          <w:rPr>
            <w:rStyle w:val="ListLabel325"/>
            <w:sz w:val="24"/>
            <w:szCs w:val="24"/>
            <w:u w:val="single"/>
            <w:shd w:fill="FFFFFF" w:val="clear"/>
          </w:rPr>
          <w:t>1</w:t>
        </w:r>
      </w:hyperlink>
      <w:r>
        <w:rPr>
          <w:sz w:val="24"/>
          <w:szCs w:val="24"/>
          <w:shd w:fill="FFFFFF" w:val="clear"/>
        </w:rPr>
        <w:t>] [</w:t>
      </w:r>
      <w:hyperlink r:id="rId7">
        <w:r>
          <w:rPr>
            <w:rStyle w:val="ListLabel325"/>
            <w:sz w:val="24"/>
            <w:szCs w:val="24"/>
            <w:u w:val="single"/>
            <w:shd w:fill="FFFFFF" w:val="clear"/>
          </w:rPr>
          <w:t>2</w:t>
        </w:r>
      </w:hyperlink>
      <w:r>
        <w:rPr>
          <w:sz w:val="24"/>
          <w:szCs w:val="24"/>
          <w:shd w:fill="FFFFFF" w:val="clear"/>
        </w:rPr>
        <w:t>]</w:t>
      </w:r>
    </w:p>
    <w:p>
      <w:pPr>
        <w:pStyle w:val="Normal"/>
        <w:bidi w:val="0"/>
        <w:spacing w:lineRule="auto" w:line="240" w:before="240" w:after="240"/>
        <w:jc w:val="start"/>
        <w:rPr>
          <w:sz w:val="24"/>
          <w:szCs w:val="24"/>
          <w:shd w:fill="FFFFFF" w:val="clear"/>
        </w:rPr>
      </w:pPr>
      <w:r>
        <w:rPr>
          <w:sz w:val="24"/>
          <w:szCs w:val="24"/>
          <w:shd w:fill="FFFFFF" w:val="clear"/>
        </w:rPr>
        <w:t>Le RAPLIQ peut compter sur un conseil d’administration impliqué, diversifié et sensible et représentatif des réalités  et discriminations vécues par les personnes handicapées, permettant à l’organisation de demeurer un acteur crédible, mobilisateur et influent dans l’espace public québécois</w:t>
      </w:r>
    </w:p>
    <w:p>
      <w:pPr>
        <w:pStyle w:val="Heading1"/>
        <w:bidi w:val="0"/>
        <w:jc w:val="start"/>
        <w:rPr>
          <w:b/>
          <w:bCs/>
        </w:rPr>
      </w:pPr>
      <w:bookmarkStart w:id="23" w:name="__RefHeading___Toc11571_3997879255"/>
      <w:bookmarkStart w:id="24" w:name="_Toc231401473"/>
      <w:bookmarkEnd w:id="23"/>
      <w:r>
        <w:rPr>
          <w:b/>
          <w:bCs/>
        </w:rPr>
        <w:t>Plaintes en cours</w:t>
      </w:r>
      <w:bookmarkEnd w:id="24"/>
      <w:r>
        <w:rPr>
          <w:b/>
          <w:bCs/>
        </w:rPr>
        <w:t xml:space="preserve"> </w:t>
      </w:r>
    </w:p>
    <w:p>
      <w:pPr>
        <w:pStyle w:val="Normal"/>
        <w:bidi w:val="0"/>
        <w:spacing w:lineRule="auto" w:line="240"/>
        <w:jc w:val="both"/>
        <w:rPr>
          <w:b/>
          <w:bCs/>
          <w:color w:val="FF0000"/>
        </w:rPr>
      </w:pPr>
      <w:r>
        <w:rPr>
          <w:b/>
          <w:bCs/>
          <w:color w:val="FF0000"/>
        </w:rPr>
        <w:drawing>
          <wp:anchor behindDoc="0" distT="114300" distB="114300" distL="114300" distR="114300" simplePos="0" locked="0" layoutInCell="0" allowOverlap="1" relativeHeight="21">
            <wp:simplePos x="0" y="0"/>
            <wp:positionH relativeFrom="column">
              <wp:posOffset>-51435</wp:posOffset>
            </wp:positionH>
            <wp:positionV relativeFrom="paragraph">
              <wp:posOffset>158115</wp:posOffset>
            </wp:positionV>
            <wp:extent cx="1042035" cy="1042035"/>
            <wp:effectExtent l="0" t="0" r="0" b="0"/>
            <wp:wrapSquare wrapText="bothSides"/>
            <wp:docPr id="5" name="image1.png"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png" descr="" title=""/>
                    <pic:cNvPicPr>
                      <a:picLocks noChangeAspect="1" noChangeArrowheads="1"/>
                    </pic:cNvPicPr>
                  </pic:nvPicPr>
                  <pic:blipFill>
                    <a:blip r:embed="rId8"/>
                    <a:stretch>
                      <a:fillRect/>
                    </a:stretch>
                  </pic:blipFill>
                  <pic:spPr bwMode="auto">
                    <a:xfrm>
                      <a:off x="0" y="0"/>
                      <a:ext cx="1042035" cy="1042035"/>
                    </a:xfrm>
                    <a:prstGeom prst="rect">
                      <a:avLst/>
                    </a:prstGeom>
                  </pic:spPr>
                </pic:pic>
              </a:graphicData>
            </a:graphic>
          </wp:anchor>
        </w:drawing>
      </w:r>
    </w:p>
    <w:p>
      <w:pPr>
        <w:pStyle w:val="Normal"/>
        <w:bidi w:val="0"/>
        <w:spacing w:lineRule="auto" w:line="240"/>
        <w:jc w:val="both"/>
        <w:rPr/>
      </w:pPr>
      <w:r>
        <w:rPr/>
        <w:t>Lorsqu’une personne s’adresse à nous pour l’assister dans sa plainte, nous la rédigeons d’une manière formelle et nous la déposons au nom de la victime devant l’instance habilitée à traiter le litige.</w:t>
      </w:r>
    </w:p>
    <w:p>
      <w:pPr>
        <w:pStyle w:val="Normal"/>
        <w:bidi w:val="0"/>
        <w:spacing w:lineRule="auto" w:line="240"/>
        <w:jc w:val="both"/>
        <w:rPr/>
      </w:pPr>
      <w:r>
        <w:rPr/>
      </w:r>
    </w:p>
    <w:p>
      <w:pPr>
        <w:pStyle w:val="Normal"/>
        <w:bidi w:val="0"/>
        <w:spacing w:lineRule="auto" w:line="240"/>
        <w:jc w:val="both"/>
        <w:rPr/>
      </w:pPr>
      <w:r>
        <w:rPr/>
        <w:t xml:space="preserve">Au 31 mars 2026, le RAPLIQ était mandaté dans 36 plaintes, réparties comme suit: </w:t>
      </w:r>
    </w:p>
    <w:p>
      <w:pPr>
        <w:pStyle w:val="Normal"/>
        <w:bidi w:val="0"/>
        <w:spacing w:lineRule="auto" w:line="240"/>
        <w:jc w:val="both"/>
        <w:rPr/>
      </w:pPr>
      <w:r>
        <w:rPr/>
      </w:r>
    </w:p>
    <w:p>
      <w:pPr>
        <w:pStyle w:val="Normal"/>
        <w:bidi w:val="0"/>
        <w:spacing w:lineRule="auto" w:line="240"/>
        <w:ind w:start="1440"/>
        <w:jc w:val="start"/>
        <w:rPr/>
      </w:pPr>
      <w:r>
        <w:rPr/>
      </w:r>
    </w:p>
    <w:p>
      <w:pPr>
        <w:pStyle w:val="Normal"/>
        <w:numPr>
          <w:ilvl w:val="0"/>
          <w:numId w:val="8"/>
        </w:numPr>
        <w:bidi w:val="0"/>
        <w:spacing w:lineRule="auto" w:line="240"/>
        <w:jc w:val="start"/>
        <w:rPr/>
      </w:pPr>
      <w:r>
        <w:rPr/>
        <w:t>Vingt-huit à la Commission des droit de la Personne et de la Jeunesse;</w:t>
      </w:r>
    </w:p>
    <w:p>
      <w:pPr>
        <w:pStyle w:val="Normal"/>
        <w:numPr>
          <w:ilvl w:val="0"/>
          <w:numId w:val="9"/>
        </w:numPr>
        <w:bidi w:val="0"/>
        <w:spacing w:lineRule="auto" w:line="240"/>
        <w:jc w:val="both"/>
        <w:rPr/>
      </w:pPr>
      <w:r>
        <w:rPr/>
        <w:t>Une au Tribunal des Petites créances;</w:t>
      </w:r>
    </w:p>
    <w:p>
      <w:pPr>
        <w:pStyle w:val="Normal"/>
        <w:numPr>
          <w:ilvl w:val="0"/>
          <w:numId w:val="9"/>
        </w:numPr>
        <w:bidi w:val="0"/>
        <w:spacing w:lineRule="auto" w:line="240"/>
        <w:jc w:val="both"/>
        <w:rPr/>
      </w:pPr>
      <w:r>
        <w:rPr/>
        <w:t xml:space="preserve">Une au Commission canadienne des droits de la personne; </w:t>
      </w:r>
    </w:p>
    <w:p>
      <w:pPr>
        <w:pStyle w:val="Normal"/>
        <w:numPr>
          <w:ilvl w:val="0"/>
          <w:numId w:val="9"/>
        </w:numPr>
        <w:bidi w:val="0"/>
        <w:spacing w:lineRule="auto" w:line="240"/>
        <w:jc w:val="both"/>
        <w:rPr/>
      </w:pPr>
      <w:r>
        <w:rPr/>
        <w:t>Deux à l’Office de Transport du Canada</w:t>
      </w:r>
    </w:p>
    <w:p>
      <w:pPr>
        <w:pStyle w:val="Normal"/>
        <w:numPr>
          <w:ilvl w:val="0"/>
          <w:numId w:val="9"/>
        </w:numPr>
        <w:bidi w:val="0"/>
        <w:spacing w:lineRule="auto" w:line="240"/>
        <w:jc w:val="both"/>
        <w:rPr/>
      </w:pPr>
      <w:r>
        <w:rPr/>
        <w:t>Trois à la Cour supérieure</w:t>
      </w:r>
    </w:p>
    <w:p>
      <w:pPr>
        <w:pStyle w:val="Normal"/>
        <w:numPr>
          <w:ilvl w:val="0"/>
          <w:numId w:val="9"/>
        </w:numPr>
        <w:bidi w:val="0"/>
        <w:spacing w:lineRule="auto" w:line="240"/>
        <w:jc w:val="both"/>
        <w:rPr/>
      </w:pPr>
      <w:r>
        <w:rPr/>
        <w:t>Une la Cour d’appel</w:t>
      </w:r>
    </w:p>
    <w:p>
      <w:pPr>
        <w:pStyle w:val="Normal"/>
        <w:bidi w:val="0"/>
        <w:spacing w:lineRule="auto" w:line="240"/>
        <w:jc w:val="both"/>
        <w:rPr/>
      </w:pPr>
      <w:r>
        <w:rPr/>
        <w:t>Depuis sa fondation, votre RAPLIQ a traité 984 plaintes.</w:t>
      </w:r>
    </w:p>
    <w:p>
      <w:pPr>
        <w:pStyle w:val="Normal"/>
        <w:bidi w:val="0"/>
        <w:spacing w:lineRule="auto" w:line="240"/>
        <w:jc w:val="both"/>
        <w:rPr/>
      </w:pPr>
      <w:r>
        <w:rPr/>
      </w:r>
    </w:p>
    <w:p>
      <w:pPr>
        <w:pStyle w:val="Normal"/>
        <w:bidi w:val="0"/>
        <w:spacing w:lineRule="auto" w:line="240"/>
        <w:jc w:val="both"/>
        <w:rPr/>
      </w:pPr>
      <w:r>
        <w:rPr/>
        <w:t>Actuellement, deux des officiers du RAPLIQ (Linda Gauthier et Steven Laperrière) assurent l‘assistance et l’accompagnement des personnes plaignantes.</w:t>
      </w:r>
    </w:p>
    <w:p>
      <w:pPr>
        <w:pStyle w:val="Normal"/>
        <w:bidi w:val="0"/>
        <w:spacing w:lineRule="auto" w:line="240"/>
        <w:jc w:val="both"/>
        <w:rPr/>
      </w:pPr>
      <w:r>
        <w:rPr/>
      </w:r>
    </w:p>
    <w:p>
      <w:pPr>
        <w:pStyle w:val="Normal"/>
        <w:bidi w:val="0"/>
        <w:spacing w:lineRule="auto" w:line="240"/>
        <w:jc w:val="both"/>
        <w:rPr>
          <w:i/>
          <w:i/>
          <w:iCs/>
          <w:u w:val="single"/>
        </w:rPr>
      </w:pPr>
      <w:r>
        <w:rPr>
          <w:i/>
          <w:iCs/>
          <w:u w:val="single"/>
        </w:rPr>
        <w:t>Ce total de plaintes ne reflète pas le total de dossiers traités et réglés sans plaintes officielles, nombres qui dépasse largement le nombre de plaintes officiellement traitées.</w:t>
      </w:r>
    </w:p>
    <w:p>
      <w:pPr>
        <w:pStyle w:val="Heading1"/>
        <w:bidi w:val="0"/>
        <w:jc w:val="start"/>
        <w:rPr>
          <w:b/>
          <w:bCs/>
        </w:rPr>
      </w:pPr>
      <w:bookmarkStart w:id="25" w:name="__RefHeading___Toc11573_3997879255"/>
      <w:bookmarkStart w:id="26" w:name="_Toc231401474"/>
      <w:bookmarkEnd w:id="25"/>
      <w:r>
        <w:rPr>
          <w:b/>
          <w:bCs/>
        </w:rPr>
        <w:t>In Memoriam</w:t>
      </w:r>
      <w:bookmarkEnd w:id="26"/>
    </w:p>
    <w:p>
      <w:pPr>
        <w:pStyle w:val="Normal"/>
        <w:bidi w:val="0"/>
        <w:jc w:val="start"/>
        <w:rPr/>
      </w:pPr>
      <w:r>
        <w:rPr/>
      </w:r>
    </w:p>
    <w:p>
      <w:pPr>
        <w:pStyle w:val="Normal"/>
        <w:bidi w:val="0"/>
        <w:jc w:val="start"/>
        <w:rPr>
          <w:i/>
          <w:i/>
          <w:iCs/>
        </w:rPr>
      </w:pPr>
      <w:r>
        <w:rPr/>
        <w:t>“</w:t>
      </w:r>
      <w:r>
        <w:rPr>
          <w:i/>
          <w:iCs/>
        </w:rPr>
        <w:t>À la douce mémoire de”:</w:t>
      </w:r>
    </w:p>
    <w:p>
      <w:pPr>
        <w:pStyle w:val="Normal"/>
        <w:bidi w:val="0"/>
        <w:jc w:val="start"/>
        <w:rPr>
          <w:i/>
          <w:i/>
          <w:iCs/>
        </w:rPr>
      </w:pPr>
      <w:r>
        <w:rPr>
          <w:i/>
          <w:iCs/>
        </w:rPr>
      </w:r>
    </w:p>
    <w:p>
      <w:pPr>
        <w:pStyle w:val="Normal"/>
        <w:bidi w:val="0"/>
        <w:jc w:val="start"/>
        <w:rPr/>
      </w:pPr>
      <w:r>
        <w:rPr/>
        <w:t>Serge Bélisle</w:t>
      </w:r>
    </w:p>
    <w:p>
      <w:pPr>
        <w:pStyle w:val="Heading1"/>
        <w:bidi w:val="0"/>
        <w:jc w:val="start"/>
        <w:rPr>
          <w:b/>
          <w:bCs/>
        </w:rPr>
      </w:pPr>
      <w:bookmarkStart w:id="27" w:name="__RefHeading___Toc11575_3997879255"/>
      <w:bookmarkStart w:id="28" w:name="_Toc231401475"/>
      <w:bookmarkEnd w:id="27"/>
      <w:r>
        <w:rPr>
          <w:b/>
          <w:bCs/>
        </w:rPr>
        <w:t>Mentions honorifiques</w:t>
      </w:r>
      <w:bookmarkEnd w:id="28"/>
    </w:p>
    <w:p>
      <w:pPr>
        <w:pStyle w:val="Normal"/>
        <w:bidi w:val="0"/>
        <w:jc w:val="start"/>
        <w:rPr/>
      </w:pPr>
      <w:r>
        <w:rPr/>
      </w:r>
    </w:p>
    <w:p>
      <w:pPr>
        <w:pStyle w:val="Normal"/>
        <w:bidi w:val="0"/>
        <w:jc w:val="start"/>
        <w:rPr/>
      </w:pPr>
      <w:r>
        <w:rPr/>
        <w:t>Catherine Roy</w:t>
      </w:r>
    </w:p>
    <w:p>
      <w:pPr>
        <w:pStyle w:val="Normal"/>
        <w:bidi w:val="0"/>
        <w:jc w:val="start"/>
        <w:rPr/>
      </w:pPr>
      <w:r>
        <w:rPr/>
      </w:r>
    </w:p>
    <w:p>
      <w:pPr>
        <w:pStyle w:val="Heading1"/>
        <w:bidi w:val="0"/>
        <w:jc w:val="start"/>
        <w:rPr>
          <w:b/>
          <w:bCs/>
        </w:rPr>
      </w:pPr>
      <w:bookmarkStart w:id="29" w:name="__RefHeading___Toc11577_3997879255"/>
      <w:bookmarkStart w:id="30" w:name="_Toc231401476"/>
      <w:bookmarkStart w:id="31" w:name="_1w4t6dln31v0"/>
      <w:bookmarkEnd w:id="29"/>
      <w:bookmarkEnd w:id="31"/>
      <w:r>
        <w:rPr>
          <w:b/>
          <w:bCs/>
        </w:rPr>
        <w:t>DOSSIERS MAJEURS</w:t>
      </w:r>
      <w:bookmarkEnd w:id="30"/>
    </w:p>
    <w:p>
      <w:pPr>
        <w:pStyle w:val="Heading2"/>
        <w:bidi w:val="0"/>
        <w:spacing w:lineRule="auto" w:line="240" w:before="360" w:after="80"/>
        <w:jc w:val="start"/>
        <w:rPr>
          <w:b/>
          <w:bCs/>
          <w:sz w:val="24"/>
          <w:szCs w:val="24"/>
        </w:rPr>
      </w:pPr>
      <w:bookmarkStart w:id="32" w:name="__RefHeading___Toc11579_3997879255"/>
      <w:bookmarkStart w:id="33" w:name="_Toc231401477"/>
      <w:bookmarkStart w:id="34" w:name="_hgyhwbpowgdg"/>
      <w:bookmarkEnd w:id="32"/>
      <w:bookmarkEnd w:id="34"/>
      <w:r>
        <w:rPr>
          <w:b/>
          <w:bCs/>
          <w:sz w:val="24"/>
          <w:szCs w:val="24"/>
        </w:rPr>
        <w:t>Une année de mobilisation, de résistance et d’influence</w:t>
      </w:r>
      <w:bookmarkEnd w:id="33"/>
    </w:p>
    <w:p>
      <w:pPr>
        <w:pStyle w:val="Normal"/>
        <w:bidi w:val="0"/>
        <w:jc w:val="start"/>
        <w:rPr/>
      </w:pPr>
      <w:r>
        <w:rPr/>
        <w:t>L’année 2025-2026 aura été marquée par une intensification des actions du RAPLIQ sur plusieurs fronts majeurs touchant directement les droits, la dignité et la qualité de vie des personnes handicapées.</w:t>
      </w:r>
    </w:p>
    <w:p>
      <w:pPr>
        <w:pStyle w:val="Normal"/>
        <w:bidi w:val="0"/>
        <w:jc w:val="start"/>
        <w:rPr/>
      </w:pPr>
      <w:r>
        <w:rPr/>
      </w:r>
    </w:p>
    <w:p>
      <w:pPr>
        <w:pStyle w:val="Normal"/>
        <w:bidi w:val="0"/>
        <w:jc w:val="start"/>
        <w:rPr/>
      </w:pPr>
      <w:r>
        <w:rPr/>
        <w:t>Dans un contexte de compressions budgétaires, de réformes administratives et de remise en question de certains acquis sociaux, le RAPLIQ a poursuivi son rôle de chien de garde, de porte-voix et d’acteur de changement social.</w:t>
      </w:r>
    </w:p>
    <w:p>
      <w:pPr>
        <w:pStyle w:val="Normal"/>
        <w:bidi w:val="0"/>
        <w:jc w:val="start"/>
        <w:rPr/>
      </w:pPr>
      <w:r>
        <w:rPr/>
      </w:r>
    </w:p>
    <w:p>
      <w:pPr>
        <w:pStyle w:val="Normal"/>
        <w:bidi w:val="0"/>
        <w:jc w:val="start"/>
        <w:rPr/>
      </w:pPr>
      <w:r>
        <w:rPr/>
        <w:t>Nos interventions se sont articulées autour de plusieurs grands axes :</w:t>
      </w:r>
    </w:p>
    <w:p>
      <w:pPr>
        <w:pStyle w:val="Normal"/>
        <w:bidi w:val="0"/>
        <w:jc w:val="start"/>
        <w:rPr/>
      </w:pPr>
      <w:r>
        <w:rPr/>
        <w:t>le soutien à domicile et les services essentiels ;</w:t>
      </w:r>
    </w:p>
    <w:p>
      <w:pPr>
        <w:pStyle w:val="Normal"/>
        <w:bidi w:val="0"/>
        <w:jc w:val="start"/>
        <w:rPr/>
      </w:pPr>
      <w:r>
        <w:rPr/>
        <w:t>le transport adapté et collectif ;</w:t>
      </w:r>
    </w:p>
    <w:p>
      <w:pPr>
        <w:pStyle w:val="Normal"/>
        <w:bidi w:val="0"/>
        <w:jc w:val="start"/>
        <w:rPr/>
      </w:pPr>
      <w:r>
        <w:rPr/>
        <w:t>l’accessibilité universelle ;</w:t>
      </w:r>
    </w:p>
    <w:p>
      <w:pPr>
        <w:pStyle w:val="Normal"/>
        <w:bidi w:val="0"/>
        <w:jc w:val="start"/>
        <w:rPr/>
      </w:pPr>
      <w:r>
        <w:rPr/>
        <w:t>les droits des femmes handicapées ;</w:t>
      </w:r>
    </w:p>
    <w:p>
      <w:pPr>
        <w:pStyle w:val="Normal"/>
        <w:bidi w:val="0"/>
        <w:jc w:val="start"/>
        <w:rPr/>
      </w:pPr>
      <w:r>
        <w:rPr/>
        <w:t>l’accès à la santé et aux services publics ;</w:t>
      </w:r>
    </w:p>
    <w:p>
      <w:pPr>
        <w:pStyle w:val="Normal"/>
        <w:bidi w:val="0"/>
        <w:jc w:val="start"/>
        <w:rPr/>
      </w:pPr>
      <w:r>
        <w:rPr/>
        <w:t>la lutte contre la discrimination systémique ;</w:t>
      </w:r>
    </w:p>
    <w:p>
      <w:pPr>
        <w:pStyle w:val="Normal"/>
        <w:bidi w:val="0"/>
        <w:jc w:val="start"/>
        <w:rPr/>
      </w:pPr>
      <w:r>
        <w:rPr/>
        <w:t>la représentation politique et institutionnelle.</w:t>
      </w:r>
    </w:p>
    <w:p>
      <w:pPr>
        <w:pStyle w:val="Normal"/>
        <w:bidi w:val="0"/>
        <w:jc w:val="start"/>
        <w:rPr/>
      </w:pPr>
      <w:r>
        <w:rPr/>
      </w:r>
    </w:p>
    <w:p>
      <w:pPr>
        <w:pStyle w:val="Normal"/>
        <w:bidi w:val="0"/>
        <w:jc w:val="start"/>
        <w:rPr/>
      </w:pPr>
      <w:r>
        <w:rPr/>
        <w:t xml:space="preserve">Le RAPLIQ a également renforcé sa présence dans plusieurs espaces stratégiques de concertation et de représentation, convaincu que la défense des droits doit s’exercer autant dans la rue, dans les médias, devant les tribunaux que dans les lieux décisionnels. </w:t>
      </w:r>
    </w:p>
    <w:p>
      <w:pPr>
        <w:pStyle w:val="Normal"/>
        <w:bidi w:val="0"/>
        <w:jc w:val="start"/>
        <w:rPr/>
      </w:pPr>
      <w:r>
        <w:rPr/>
        <w:t>Une saine gouvernance et une collaboration étroite entre le conseil d’administration et la direction générale demeurent essentielles afin d’assurer la cohérence, la pérennité et l’efficacité de notre action collective.</w:t>
      </w:r>
    </w:p>
    <w:p>
      <w:pPr>
        <w:pStyle w:val="Normal"/>
        <w:bidi w:val="0"/>
        <w:jc w:val="start"/>
        <w:rPr/>
      </w:pPr>
      <w:r>
        <w:rPr/>
      </w:r>
    </w:p>
    <w:p>
      <w:pPr>
        <w:pStyle w:val="Normal"/>
        <w:bidi w:val="0"/>
        <w:jc w:val="start"/>
        <w:rPr/>
      </w:pPr>
      <w:r>
        <w:rPr/>
        <w:t>Cette année encore, nous avons refusé de demeurer silencieux devant les reculs observés et avons poursuivi notre mission avec détermination : défendre les droits des personnes handicapées et promouvoir un Québec réellement inclusif.</w:t>
      </w:r>
    </w:p>
    <w:p>
      <w:pPr>
        <w:pStyle w:val="Heading1"/>
        <w:bidi w:val="0"/>
        <w:jc w:val="start"/>
        <w:rPr>
          <w:b/>
          <w:bCs/>
        </w:rPr>
      </w:pPr>
      <w:bookmarkStart w:id="35" w:name="__RefHeading___Toc11581_3997879255"/>
      <w:bookmarkStart w:id="36" w:name="_Toc231401478"/>
      <w:bookmarkStart w:id="37" w:name="_qj4ds5ia7x7"/>
      <w:bookmarkEnd w:id="35"/>
      <w:bookmarkEnd w:id="37"/>
      <w:r>
        <w:rPr>
          <w:b/>
          <w:bCs/>
        </w:rPr>
        <w:t>Promotion des droits et débats</w:t>
      </w:r>
      <w:bookmarkEnd w:id="36"/>
    </w:p>
    <w:p>
      <w:pPr>
        <w:pStyle w:val="Normal"/>
        <w:bidi w:val="0"/>
        <w:jc w:val="start"/>
        <w:rPr/>
      </w:pPr>
      <w:r>
        <w:rPr/>
        <w:t>Tout au long de l’année 2025-2026, le RAPLIQ a poursuivi son rôle de premier plan dans la défense des droits des personnes handicapées, en multipliant les interventions publiques, médiatiques et politiques afin de dénoncer les reculs, faire avancer les débats sociaux et influencer les décisions gouvernementales.</w:t>
      </w:r>
    </w:p>
    <w:p>
      <w:pPr>
        <w:pStyle w:val="Normal"/>
        <w:bidi w:val="0"/>
        <w:jc w:val="start"/>
        <w:rPr/>
      </w:pPr>
      <w:r>
        <w:rPr/>
      </w:r>
    </w:p>
    <w:p>
      <w:pPr>
        <w:pStyle w:val="Normal"/>
        <w:bidi w:val="0"/>
        <w:jc w:val="start"/>
        <w:rPr/>
      </w:pPr>
      <w:r>
        <w:rPr/>
        <w:t>Dans un contexte marqué par des compressions dans plusieurs programmes essentiels, des débats sur l’aide médicale à mourir, le maintien à domicile, l’accessibilité universelle et le transport collectif, le RAPLIQ a maintenu une présence soutenue dans l’espace public et médiatique. Nos interventions ont permis de mettre en lumière les impacts humains bien réels de certaines décisions politiques et de rappeler que l’accessibilité et l’inclusion ne peuvent être considérées comme des enjeux secondaires.</w:t>
      </w:r>
    </w:p>
    <w:p>
      <w:pPr>
        <w:pStyle w:val="Normal"/>
        <w:bidi w:val="0"/>
        <w:jc w:val="start"/>
        <w:rPr/>
      </w:pPr>
      <w:r>
        <w:rPr/>
      </w:r>
    </w:p>
    <w:p>
      <w:pPr>
        <w:pStyle w:val="Normal"/>
        <w:bidi w:val="0"/>
        <w:jc w:val="start"/>
        <w:rPr/>
      </w:pPr>
      <w:bookmarkStart w:id="38" w:name="_s1xaejkfupzj"/>
      <w:bookmarkEnd w:id="38"/>
      <w:r>
        <w:rPr/>
        <w:t>Au cours de l’année, le RAPLIQ a également renforcé sa présence dans plusieurs espaces de concertation et de représentation, tant au niveau municipal, provincial que fédéral, consolidant ainsi sa reconnaissance comme acteur incontournable de défense collective des droits des personnes handicapées.</w:t>
      </w:r>
    </w:p>
    <w:p>
      <w:pPr>
        <w:pStyle w:val="Normal"/>
        <w:bidi w:val="0"/>
        <w:jc w:val="start"/>
        <w:rPr/>
      </w:pPr>
      <w:r>
        <w:rPr/>
      </w:r>
    </w:p>
    <w:p>
      <w:pPr>
        <w:pStyle w:val="Normal"/>
        <w:bidi w:val="0"/>
        <w:jc w:val="start"/>
        <w:rPr/>
      </w:pPr>
      <w:bookmarkStart w:id="39" w:name="_j4ecv1j6mt7n"/>
      <w:bookmarkEnd w:id="39"/>
      <w:r>
        <w:rPr/>
        <w:t>Par ses prises de position, ses collaborations et ses actions de sensibilisation, le RAPLIQ continue de contribuer activement à faire évoluer les mentalités et à promouvoir une société plus juste, inclusive et respectueuse des droits humains.</w:t>
      </w:r>
    </w:p>
    <w:p>
      <w:pPr>
        <w:pStyle w:val="Heading1"/>
        <w:bidi w:val="0"/>
        <w:jc w:val="start"/>
        <w:rPr>
          <w:b/>
          <w:bCs/>
        </w:rPr>
      </w:pPr>
      <w:bookmarkStart w:id="40" w:name="__RefHeading___Toc11583_3997879255"/>
      <w:bookmarkStart w:id="41" w:name="_Toc231401479"/>
      <w:bookmarkStart w:id="42" w:name="_ui57xy1yceg4"/>
      <w:bookmarkEnd w:id="40"/>
      <w:bookmarkEnd w:id="42"/>
      <w:r>
        <w:rPr>
          <w:b/>
          <w:bCs/>
        </w:rPr>
        <w:t>Représentations politiques et institutionnelles</w:t>
      </w:r>
      <w:bookmarkEnd w:id="41"/>
    </w:p>
    <w:p>
      <w:pPr>
        <w:pStyle w:val="Normal"/>
        <w:bidi w:val="0"/>
        <w:spacing w:before="240" w:after="240"/>
        <w:jc w:val="start"/>
        <w:rPr/>
      </w:pPr>
      <w:r>
        <w:rPr/>
        <w:t>Le RAPLIQ poursuit activement son travail de représentation politique et institutionnelle afin de défendre les droits des personnes handicapées directement au sein des lieux où se prennent les décisions.</w:t>
      </w:r>
    </w:p>
    <w:p>
      <w:pPr>
        <w:pStyle w:val="Normal"/>
        <w:bidi w:val="0"/>
        <w:spacing w:before="240" w:after="240"/>
        <w:jc w:val="start"/>
        <w:rPr/>
      </w:pPr>
      <w:r>
        <w:rPr/>
        <w:t>Au cours de l’année, le RAPLIQ a siégé sur plusieurs comités, tables de concertation et instances consultatives touchant notamment :</w:t>
      </w:r>
    </w:p>
    <w:p>
      <w:pPr>
        <w:pStyle w:val="Normal"/>
        <w:numPr>
          <w:ilvl w:val="0"/>
          <w:numId w:val="10"/>
        </w:numPr>
        <w:bidi w:val="0"/>
        <w:spacing w:before="240" w:after="0"/>
        <w:jc w:val="start"/>
        <w:rPr/>
      </w:pPr>
      <w:r>
        <w:rPr/>
        <w:t>les droits de la personne ;</w:t>
      </w:r>
    </w:p>
    <w:p>
      <w:pPr>
        <w:pStyle w:val="Normal"/>
        <w:numPr>
          <w:ilvl w:val="0"/>
          <w:numId w:val="10"/>
        </w:numPr>
        <w:bidi w:val="0"/>
        <w:jc w:val="start"/>
        <w:rPr/>
      </w:pPr>
      <w:r>
        <w:rPr/>
        <w:t>l’accessibilité universelle ;</w:t>
      </w:r>
    </w:p>
    <w:p>
      <w:pPr>
        <w:pStyle w:val="Normal"/>
        <w:numPr>
          <w:ilvl w:val="0"/>
          <w:numId w:val="10"/>
        </w:numPr>
        <w:bidi w:val="0"/>
        <w:jc w:val="start"/>
        <w:rPr/>
      </w:pPr>
      <w:r>
        <w:rPr/>
        <w:t>le transport collectif et adapté ;</w:t>
      </w:r>
    </w:p>
    <w:p>
      <w:pPr>
        <w:pStyle w:val="Normal"/>
        <w:numPr>
          <w:ilvl w:val="0"/>
          <w:numId w:val="10"/>
        </w:numPr>
        <w:bidi w:val="0"/>
        <w:jc w:val="start"/>
        <w:rPr/>
      </w:pPr>
      <w:r>
        <w:rPr/>
        <w:t>l’éducation ;</w:t>
      </w:r>
    </w:p>
    <w:p>
      <w:pPr>
        <w:pStyle w:val="Normal"/>
        <w:numPr>
          <w:ilvl w:val="0"/>
          <w:numId w:val="10"/>
        </w:numPr>
        <w:bidi w:val="0"/>
        <w:jc w:val="start"/>
        <w:rPr/>
      </w:pPr>
      <w:r>
        <w:rPr/>
        <w:t>la santé ;</w:t>
      </w:r>
    </w:p>
    <w:p>
      <w:pPr>
        <w:pStyle w:val="Normal"/>
        <w:numPr>
          <w:ilvl w:val="0"/>
          <w:numId w:val="10"/>
        </w:numPr>
        <w:bidi w:val="0"/>
        <w:jc w:val="start"/>
        <w:rPr/>
      </w:pPr>
      <w:r>
        <w:rPr/>
        <w:t>l’environnement bâti ;</w:t>
      </w:r>
    </w:p>
    <w:p>
      <w:pPr>
        <w:pStyle w:val="Normal"/>
        <w:numPr>
          <w:ilvl w:val="0"/>
          <w:numId w:val="10"/>
        </w:numPr>
        <w:bidi w:val="0"/>
        <w:spacing w:before="0" w:after="240"/>
        <w:jc w:val="start"/>
        <w:rPr/>
      </w:pPr>
      <w:r>
        <w:rPr/>
        <w:t>ainsi que les politiques publiques liées au handicap.</w:t>
      </w:r>
    </w:p>
    <w:p>
      <w:pPr>
        <w:pStyle w:val="Normal"/>
        <w:bidi w:val="0"/>
        <w:spacing w:before="240" w:after="240"/>
        <w:jc w:val="start"/>
        <w:rPr/>
      </w:pPr>
      <w:r>
        <w:rPr/>
        <w:t>Le RAPLIQ maintient également des collaborations soutenues avec plusieurs organismes et institutions, dont la Commission des droits de la personne et des droits de la jeunesse (CDPDJ), la COPHAN, des sociétés de transport, ainsi que différents partenaires communautaires et gouvernementaux.</w:t>
      </w:r>
    </w:p>
    <w:p>
      <w:pPr>
        <w:pStyle w:val="Normal"/>
        <w:bidi w:val="0"/>
        <w:spacing w:before="240" w:after="240"/>
        <w:jc w:val="start"/>
        <w:rPr/>
      </w:pPr>
      <w:r>
        <w:rPr/>
        <w:t>À travers ces représentations, le RAPLIQ cherche non seulement à dénoncer les discriminations vécues par les personnes handicapées, mais aussi à influencer concrètement les politiques, normes et pratiques afin que l’accessibilité universelle et l’inclusion deviennent des priorités réelles et structurantes au Québec.</w:t>
      </w:r>
    </w:p>
    <w:p>
      <w:pPr>
        <w:pStyle w:val="Heading1"/>
        <w:bidi w:val="0"/>
        <w:spacing w:before="115" w:after="0"/>
        <w:jc w:val="start"/>
        <w:rPr>
          <w:b/>
          <w:bCs/>
        </w:rPr>
      </w:pPr>
      <w:bookmarkStart w:id="43" w:name="__RefHeading___Toc11585_3997879255"/>
      <w:bookmarkStart w:id="44" w:name="_Toc231401480"/>
      <w:bookmarkStart w:id="45" w:name="_x5nffzvcwzza"/>
      <w:bookmarkEnd w:id="43"/>
      <w:bookmarkEnd w:id="45"/>
      <w:r>
        <w:rPr>
          <w:b/>
          <w:bCs/>
        </w:rPr>
        <w:t>Accessibilité universelle : Des reculs budgétaires inquiétants</w:t>
      </w:r>
      <w:bookmarkEnd w:id="44"/>
    </w:p>
    <w:p>
      <w:pPr>
        <w:pStyle w:val="Normal"/>
        <w:bidi w:val="0"/>
        <w:spacing w:before="115" w:after="0"/>
        <w:jc w:val="start"/>
        <w:rPr>
          <w:b/>
          <w:bCs/>
        </w:rPr>
      </w:pPr>
      <w:r>
        <w:rPr/>
      </w:r>
    </w:p>
    <w:p>
      <w:pPr>
        <w:pStyle w:val="Normal"/>
        <w:bidi w:val="0"/>
        <w:jc w:val="start"/>
        <w:rPr/>
      </w:pPr>
      <w:r>
        <w:rPr/>
        <w:t>L’année 2025-2026 restera marquée par un recul profondément inquiétant de l’engagement de la Ville de Montréal envers l’accessibilité universelle. Malgré les grands discours et les engagements publics répétés, les budgets consacrés aux travaux d’accessibilité ont été pratiquement réduits à néant pour l’année en cours ainsi que pour l’année suivante, mettant en péril des projets essentiels pour les personnes handicapées.</w:t>
      </w:r>
    </w:p>
    <w:p>
      <w:pPr>
        <w:pStyle w:val="Normal"/>
        <w:bidi w:val="0"/>
        <w:jc w:val="start"/>
        <w:rPr/>
      </w:pPr>
      <w:r>
        <w:rPr/>
      </w:r>
    </w:p>
    <w:p>
      <w:pPr>
        <w:pStyle w:val="Normal"/>
        <w:bidi w:val="0"/>
        <w:jc w:val="start"/>
        <w:rPr>
          <w:b/>
          <w:bCs/>
          <w:u w:val="single"/>
        </w:rPr>
      </w:pPr>
      <w:r>
        <w:rPr>
          <w:b/>
          <w:bCs/>
          <w:u w:val="single"/>
        </w:rPr>
        <w:t>Le RAPLIQ est indigné.</w:t>
      </w:r>
    </w:p>
    <w:p>
      <w:pPr>
        <w:pStyle w:val="Normal"/>
        <w:bidi w:val="0"/>
        <w:jc w:val="start"/>
        <w:rPr>
          <w:b/>
          <w:bCs/>
          <w:u w:val="single"/>
        </w:rPr>
      </w:pPr>
      <w:r>
        <w:rPr>
          <w:b/>
          <w:bCs/>
          <w:u w:val="single"/>
        </w:rPr>
      </w:r>
    </w:p>
    <w:p>
      <w:pPr>
        <w:pStyle w:val="Normal"/>
        <w:bidi w:val="0"/>
        <w:jc w:val="start"/>
        <w:rPr/>
      </w:pPr>
      <w:r>
        <w:rPr/>
        <w:t>Pendant que la Ville multiplie les annonces, des projets pourtant jugés prioritaires sont reportés, ralentis ou abandonnés. Ce sont encore une fois les personnes handicapées qui paient le prix des arbitrages budgétaires et des choix politiques.</w:t>
      </w:r>
    </w:p>
    <w:p>
      <w:pPr>
        <w:pStyle w:val="Normal"/>
        <w:bidi w:val="0"/>
        <w:jc w:val="start"/>
        <w:rPr/>
      </w:pPr>
      <w:r>
        <w:rPr/>
      </w:r>
    </w:p>
    <w:p>
      <w:pPr>
        <w:pStyle w:val="Normal"/>
        <w:bidi w:val="0"/>
        <w:jc w:val="start"/>
        <w:rPr>
          <w:b/>
          <w:bCs/>
        </w:rPr>
      </w:pPr>
      <w:r>
        <w:rPr>
          <w:b/>
          <w:bCs/>
        </w:rPr>
        <w:t>L’accessibilité universelle ne peut pas être traitée comme une variable d’ajustement financière. Ce n’est ni un luxe, ni un “extra”, ni une faveur accordée lorsque les finances vont bien. C’est une obligation morale, sociale et légale.</w:t>
      </w:r>
    </w:p>
    <w:p>
      <w:pPr>
        <w:pStyle w:val="Normal"/>
        <w:bidi w:val="0"/>
        <w:jc w:val="start"/>
        <w:rPr>
          <w:b/>
          <w:bCs/>
        </w:rPr>
      </w:pPr>
      <w:r>
        <w:rPr>
          <w:b/>
          <w:bCs/>
        </w:rPr>
      </w:r>
    </w:p>
    <w:p>
      <w:pPr>
        <w:pStyle w:val="Normal"/>
        <w:bidi w:val="0"/>
        <w:jc w:val="start"/>
        <w:rPr/>
      </w:pPr>
      <w:r>
        <w:rPr/>
        <w:t>Ces compressions mettent directement en danger :</w:t>
      </w:r>
    </w:p>
    <w:p>
      <w:pPr>
        <w:pStyle w:val="Normal"/>
        <w:bidi w:val="0"/>
        <w:jc w:val="start"/>
        <w:rPr/>
      </w:pPr>
      <w:r>
        <w:rPr/>
        <w:t>l’accès aux bâtiments municipaux ;</w:t>
      </w:r>
    </w:p>
    <w:p>
      <w:pPr>
        <w:pStyle w:val="Normal"/>
        <w:bidi w:val="0"/>
        <w:jc w:val="start"/>
        <w:rPr/>
      </w:pPr>
      <w:r>
        <w:rPr/>
        <w:t>les infrastructures sportives et culturelles ;</w:t>
      </w:r>
    </w:p>
    <w:p>
      <w:pPr>
        <w:pStyle w:val="Normal"/>
        <w:bidi w:val="0"/>
        <w:jc w:val="start"/>
        <w:rPr/>
      </w:pPr>
      <w:r>
        <w:rPr/>
        <w:t>les déplacements sécuritaires ;</w:t>
      </w:r>
    </w:p>
    <w:p>
      <w:pPr>
        <w:pStyle w:val="Normal"/>
        <w:bidi w:val="0"/>
        <w:jc w:val="start"/>
        <w:rPr/>
      </w:pPr>
      <w:r>
        <w:rPr/>
        <w:t>la participation pleine et entière des personnes handicapées à la vie montréalaise.</w:t>
      </w:r>
    </w:p>
    <w:p>
      <w:pPr>
        <w:pStyle w:val="Normal"/>
        <w:bidi w:val="0"/>
        <w:jc w:val="start"/>
        <w:rPr/>
      </w:pPr>
      <w:r>
        <w:rPr/>
      </w:r>
    </w:p>
    <w:p>
      <w:pPr>
        <w:pStyle w:val="Normal"/>
        <w:bidi w:val="0"/>
        <w:jc w:val="start"/>
        <w:rPr/>
      </w:pPr>
      <w:bookmarkStart w:id="46" w:name="_6zd7gai90wty"/>
      <w:bookmarkEnd w:id="46"/>
      <w:r>
        <w:rPr/>
        <w:t>Le RAPLIQ continuera de dénoncer avec force cette incohérence entre les discours inclusifs et la réalité vécue sur le terrain.</w:t>
      </w:r>
    </w:p>
    <w:p>
      <w:pPr>
        <w:pStyle w:val="Heading1"/>
        <w:bidi w:val="0"/>
        <w:jc w:val="start"/>
        <w:rPr>
          <w:b/>
          <w:bCs/>
        </w:rPr>
      </w:pPr>
      <w:bookmarkStart w:id="47" w:name="__RefHeading___Toc11587_3997879255"/>
      <w:bookmarkStart w:id="48" w:name="_8a2knpki9qbv"/>
      <w:bookmarkEnd w:id="47"/>
      <w:bookmarkEnd w:id="48"/>
      <w:r>
        <w:rPr>
          <w:b/>
          <w:bCs/>
        </w:rPr>
        <w:t>Lutte contre la discrimination systémique</w:t>
      </w:r>
    </w:p>
    <w:p>
      <w:pPr>
        <w:pStyle w:val="Normal"/>
        <w:bidi w:val="0"/>
        <w:jc w:val="start"/>
        <w:rPr/>
      </w:pPr>
      <w:r>
        <w:rPr/>
        <w:t>Depuis sa fondation, le RAPLIQ a fait de la lutte contre la discrimination systémique fondée sur le handicap l’un de ses principaux chevaux de bataille. Pour nous, cette discrimination ne se limite pas à des gestes isolés : elle est présente dans les structures mêmes de notre société — transport collectif, santé, emploi, logement, accès aux commerces et services publics.</w:t>
      </w:r>
    </w:p>
    <w:p>
      <w:pPr>
        <w:pStyle w:val="Normal"/>
        <w:bidi w:val="0"/>
        <w:jc w:val="start"/>
        <w:rPr/>
      </w:pPr>
      <w:r>
        <w:rPr/>
      </w:r>
    </w:p>
    <w:p>
      <w:pPr>
        <w:pStyle w:val="Normal"/>
        <w:bidi w:val="0"/>
        <w:jc w:val="start"/>
        <w:rPr/>
      </w:pPr>
      <w:r>
        <w:rPr/>
        <w:t>Au fil des années, le RAPLIQ a :</w:t>
      </w:r>
    </w:p>
    <w:p>
      <w:pPr>
        <w:pStyle w:val="Normal"/>
        <w:bidi w:val="0"/>
        <w:jc w:val="start"/>
        <w:rPr/>
      </w:pPr>
      <w:r>
        <w:rPr/>
        <w:t>multiplié les recours juridiques et plaintes stratégiques ;</w:t>
      </w:r>
    </w:p>
    <w:p>
      <w:pPr>
        <w:pStyle w:val="Normal"/>
        <w:bidi w:val="0"/>
        <w:jc w:val="start"/>
        <w:rPr/>
      </w:pPr>
      <w:r>
        <w:rPr/>
        <w:t>dénoncé publiquement l’exclusion vécue par les personnes handicapées ;</w:t>
      </w:r>
    </w:p>
    <w:p>
      <w:pPr>
        <w:pStyle w:val="Normal"/>
        <w:bidi w:val="0"/>
        <w:jc w:val="start"/>
        <w:rPr/>
      </w:pPr>
      <w:r>
        <w:rPr/>
        <w:t>participé à des consultations publiques et déposé plusieurs mémoires ;</w:t>
      </w:r>
    </w:p>
    <w:p>
      <w:pPr>
        <w:pStyle w:val="Normal"/>
        <w:bidi w:val="0"/>
        <w:jc w:val="start"/>
        <w:rPr/>
      </w:pPr>
      <w:r>
        <w:rPr/>
        <w:t>revendiqué une véritable loi coercitive sur l’accessibilité universelle au Québec.</w:t>
      </w:r>
    </w:p>
    <w:p>
      <w:pPr>
        <w:pStyle w:val="Normal"/>
        <w:bidi w:val="0"/>
        <w:jc w:val="start"/>
        <w:rPr/>
      </w:pPr>
      <w:r>
        <w:rPr/>
      </w:r>
    </w:p>
    <w:p>
      <w:pPr>
        <w:pStyle w:val="Normal"/>
        <w:bidi w:val="0"/>
        <w:jc w:val="start"/>
        <w:rPr/>
      </w:pPr>
      <w:r>
        <w:rPr/>
        <w:t>L’action collective contre la STM, Exo, l’ARTM et la Ville de Montréal demeure l’un des exemples les plus importants de cette lutte. Ce recours historique a permis de faire reconnaître que le manque d’accessibilité ne constitue pas simplement un mauvais service, mais peut relever d’une discrimination systémique fondée sur le handicap.</w:t>
      </w:r>
    </w:p>
    <w:p>
      <w:pPr>
        <w:pStyle w:val="Normal"/>
        <w:bidi w:val="0"/>
        <w:jc w:val="start"/>
        <w:rPr/>
      </w:pPr>
      <w:r>
        <w:rPr/>
      </w:r>
    </w:p>
    <w:p>
      <w:pPr>
        <w:pStyle w:val="Normal"/>
        <w:bidi w:val="0"/>
        <w:jc w:val="start"/>
        <w:rPr/>
      </w:pPr>
      <w:r>
        <w:rPr/>
        <w:t>Le RAPLIQ continue également de dénoncer les discriminations systémiques vécues :</w:t>
      </w:r>
    </w:p>
    <w:p>
      <w:pPr>
        <w:pStyle w:val="Normal"/>
        <w:bidi w:val="0"/>
        <w:jc w:val="start"/>
        <w:rPr/>
      </w:pPr>
      <w:r>
        <w:rPr/>
        <w:t>dans l’accès aux soins de santé ;</w:t>
      </w:r>
    </w:p>
    <w:p>
      <w:pPr>
        <w:pStyle w:val="Normal"/>
        <w:bidi w:val="0"/>
        <w:jc w:val="start"/>
        <w:rPr/>
      </w:pPr>
      <w:r>
        <w:rPr/>
        <w:t>dans l’accès à l’emploi ;</w:t>
      </w:r>
    </w:p>
    <w:p>
      <w:pPr>
        <w:pStyle w:val="Normal"/>
        <w:bidi w:val="0"/>
        <w:jc w:val="start"/>
        <w:rPr/>
      </w:pPr>
      <w:r>
        <w:rPr/>
        <w:t>dans l’aménagement des villes ;</w:t>
      </w:r>
    </w:p>
    <w:p>
      <w:pPr>
        <w:pStyle w:val="Normal"/>
        <w:bidi w:val="0"/>
        <w:jc w:val="start"/>
        <w:rPr/>
      </w:pPr>
      <w:r>
        <w:rPr/>
        <w:t>ainsi que dans l’accès aux lieux publics et à la vie culturelle.</w:t>
      </w:r>
    </w:p>
    <w:p>
      <w:pPr>
        <w:pStyle w:val="Heading1"/>
        <w:bidi w:val="0"/>
        <w:jc w:val="start"/>
        <w:rPr>
          <w:b/>
          <w:bCs/>
        </w:rPr>
      </w:pPr>
      <w:bookmarkStart w:id="49" w:name="__RefHeading___Toc11589_3997879255"/>
      <w:bookmarkStart w:id="50" w:name="_Toc231401481"/>
      <w:bookmarkEnd w:id="49"/>
      <w:r>
        <w:rPr>
          <w:b/>
          <w:bCs/>
        </w:rPr>
        <w:t>Coupures dans différents services concernant les personnes handicapées</w:t>
      </w:r>
      <w:bookmarkEnd w:id="50"/>
    </w:p>
    <w:p>
      <w:pPr>
        <w:pStyle w:val="Heading2"/>
        <w:bidi w:val="0"/>
        <w:jc w:val="start"/>
        <w:rPr>
          <w:b/>
          <w:bCs/>
        </w:rPr>
      </w:pPr>
      <w:bookmarkStart w:id="51" w:name="__RefHeading___Toc11591_3997879255"/>
      <w:bookmarkStart w:id="52" w:name="_Toc231401482"/>
      <w:bookmarkStart w:id="53" w:name="_crhweaz5u717"/>
      <w:bookmarkEnd w:id="51"/>
      <w:bookmarkEnd w:id="53"/>
      <w:r>
        <w:rPr>
          <w:b/>
          <w:bCs/>
        </w:rPr>
        <w:t>Maintien à domicile : vivre chez soi dans la dignité</w:t>
      </w:r>
      <w:bookmarkEnd w:id="52"/>
    </w:p>
    <w:p>
      <w:pPr>
        <w:pStyle w:val="Normal"/>
        <w:bidi w:val="0"/>
        <w:spacing w:before="240" w:after="240"/>
        <w:jc w:val="start"/>
        <w:rPr/>
      </w:pPr>
      <w:r>
        <w:rPr/>
        <w:t>Au cours de l’année 2025-2026, le RAPLIQ a poursuivi ses interventions concernant l’ensemble des enjeux liés au maintien à domicile des personnes handicapées. Bien au-delà des programmes administratifs, cette question touche directement la dignité, l’autonomie, la sécurité et la participation sociale de milliers de personnes.</w:t>
      </w:r>
    </w:p>
    <w:p>
      <w:pPr>
        <w:pStyle w:val="Normal"/>
        <w:bidi w:val="0"/>
        <w:spacing w:before="240" w:after="240"/>
        <w:jc w:val="start"/>
        <w:rPr/>
      </w:pPr>
      <w:r>
        <w:rPr/>
        <w:t>Le RAPLIQ a rappelé à plusieurs reprises qu’un véritable maintien à domicile ne se limite pas à demeurer physiquement dans son logement, mais implique aussi d’avoir accès :</w:t>
      </w:r>
    </w:p>
    <w:p>
      <w:pPr>
        <w:pStyle w:val="Normal"/>
        <w:numPr>
          <w:ilvl w:val="0"/>
          <w:numId w:val="11"/>
        </w:numPr>
        <w:bidi w:val="0"/>
        <w:spacing w:before="240" w:after="0"/>
        <w:jc w:val="start"/>
        <w:rPr/>
      </w:pPr>
      <w:r>
        <w:rPr/>
        <w:t>à des soins et services adaptés ;</w:t>
      </w:r>
    </w:p>
    <w:p>
      <w:pPr>
        <w:pStyle w:val="Normal"/>
        <w:numPr>
          <w:ilvl w:val="0"/>
          <w:numId w:val="11"/>
        </w:numPr>
        <w:bidi w:val="0"/>
        <w:jc w:val="start"/>
        <w:rPr/>
      </w:pPr>
      <w:r>
        <w:rPr/>
        <w:t>à un environnement accessible et sécuritaire ;</w:t>
      </w:r>
    </w:p>
    <w:p>
      <w:pPr>
        <w:pStyle w:val="Normal"/>
        <w:numPr>
          <w:ilvl w:val="0"/>
          <w:numId w:val="11"/>
        </w:numPr>
        <w:bidi w:val="0"/>
        <w:jc w:val="start"/>
        <w:rPr/>
      </w:pPr>
      <w:r>
        <w:rPr/>
        <w:t>à des ressources humaines suffisantes ;</w:t>
      </w:r>
    </w:p>
    <w:p>
      <w:pPr>
        <w:pStyle w:val="Normal"/>
        <w:numPr>
          <w:ilvl w:val="0"/>
          <w:numId w:val="11"/>
        </w:numPr>
        <w:bidi w:val="0"/>
        <w:spacing w:before="0" w:after="240"/>
        <w:jc w:val="start"/>
        <w:rPr/>
      </w:pPr>
      <w:r>
        <w:rPr/>
        <w:t xml:space="preserve">à des mesures permettant d’éviter l’institutionnalisation forcée. </w:t>
      </w:r>
    </w:p>
    <w:p>
      <w:pPr>
        <w:pStyle w:val="Normal"/>
        <w:bidi w:val="0"/>
        <w:spacing w:before="240" w:after="240"/>
        <w:jc w:val="start"/>
        <w:rPr/>
      </w:pPr>
      <w:r>
        <w:rPr/>
        <w:t xml:space="preserve">Le RAPLIQ a également participé aux débats entourant la nouvelle Politique nationale de soutien à domicile « Mieux chez soi », tout en dénonçant certains angles morts concernant la réalité spécifique des personnes handicapées. </w:t>
      </w:r>
    </w:p>
    <w:p>
      <w:pPr>
        <w:pStyle w:val="Normal"/>
        <w:bidi w:val="0"/>
        <w:spacing w:before="240" w:after="240"/>
        <w:jc w:val="start"/>
        <w:rPr/>
      </w:pPr>
      <w:r>
        <w:rPr/>
        <w:t>Une section spécifique du présent rapport est consacrée au Programme d’adaptation de domicile (PAD), dossier ayant suscité de nombreuses inquiétudes et mobilisations au cours de la dernière année.</w:t>
      </w:r>
    </w:p>
    <w:p>
      <w:pPr>
        <w:pStyle w:val="Normal"/>
        <w:bidi w:val="0"/>
        <w:jc w:val="start"/>
        <w:rPr/>
      </w:pPr>
      <w:bookmarkStart w:id="54" w:name="_tb4xcc57tqsl"/>
      <w:bookmarkEnd w:id="54"/>
      <w:r>
        <w:rPr/>
        <w:t>Quand le gouvernement parle de « réévaluation » : le RAPLIQ dénonce l’effritement du maintien à domicile des personnes handicapées au Québec</w:t>
      </w:r>
    </w:p>
    <w:p>
      <w:pPr>
        <w:pStyle w:val="Normal"/>
        <w:bidi w:val="0"/>
        <w:spacing w:before="240" w:after="240"/>
        <w:jc w:val="start"/>
        <w:rPr/>
      </w:pPr>
      <w:r>
        <w:rPr/>
        <w:t>Depuis plusieurs mois, le Regroupement des activistes pour l’inclusion au Québec (RAPLIQ) tire la sonnette d'alerte : les services permettant aux personnes handicapées de demeurer chez elles de façon sécuritaire et digne sont fragilisés partout au Québec.</w:t>
      </w:r>
    </w:p>
    <w:p>
      <w:pPr>
        <w:pStyle w:val="Normal"/>
        <w:bidi w:val="0"/>
        <w:spacing w:before="240" w:after="240"/>
        <w:jc w:val="start"/>
        <w:rPr/>
      </w:pPr>
      <w:r>
        <w:rPr/>
        <w:t>Sous des termes comme « réévaluation », « optimisation » ou « réajustement budgétaire », ce sont pourtant des programmes essentiels qui sont ralentis, suspendus ou rendus plus difficiles d’accès. Le maintien à domicile, pourtant présenté depuis des décennies comme une priorité gouvernementale, semble aujourd’hui remis en question dans les faits.</w:t>
      </w:r>
    </w:p>
    <w:p>
      <w:pPr>
        <w:pStyle w:val="Heading2"/>
        <w:bidi w:val="0"/>
        <w:jc w:val="start"/>
        <w:rPr>
          <w:b/>
          <w:bCs/>
        </w:rPr>
      </w:pPr>
      <w:bookmarkStart w:id="55" w:name="__RefHeading___Toc11593_3997879255"/>
      <w:bookmarkStart w:id="56" w:name="_Toc231401483"/>
      <w:bookmarkStart w:id="57" w:name="_765cl4z1v0g0"/>
      <w:bookmarkEnd w:id="55"/>
      <w:bookmarkEnd w:id="57"/>
      <w:r>
        <w:rPr>
          <w:b/>
          <w:bCs/>
        </w:rPr>
        <w:t>Le dossier du Programme d’adaptation de domicile (PAD) illustre parfaitement cette réalité.</w:t>
      </w:r>
      <w:bookmarkEnd w:id="56"/>
    </w:p>
    <w:p>
      <w:pPr>
        <w:pStyle w:val="Normal"/>
        <w:bidi w:val="0"/>
        <w:spacing w:before="240" w:after="240"/>
        <w:jc w:val="start"/>
        <w:rPr/>
      </w:pPr>
      <w:r>
        <w:rPr/>
        <w:t xml:space="preserve">Alors que ce programme vise précisément à permettre aux personnes handicapées d’entrer, sortir et circuler dans leur domicile de façon autonome et sécuritaire, des milliers de dossiers ont été mis sur pause au cours de la dernière année. Plusieurs municipalités et MRC ont confirmé que les demandes étaient suspendues ou retardées faute de budgets suffisants. </w:t>
      </w:r>
    </w:p>
    <w:p>
      <w:pPr>
        <w:pStyle w:val="Normal"/>
        <w:bidi w:val="0"/>
        <w:spacing w:before="240" w:after="240"/>
        <w:jc w:val="start"/>
        <w:rPr/>
      </w:pPr>
      <w:r>
        <w:rPr/>
        <w:t>Même si Québec a finalement annoncé des sommes additionnelles pour 2025-2026 et 2026-2027 afin de poursuivre le traitement de certains dossiers déjà inscrits, la réalité demeure extrêmement préoccupante : des personnes attendent toujours pendant des mois, parfois des années, avant de pouvoir adapter leur domicile.</w:t>
      </w:r>
    </w:p>
    <w:p>
      <w:pPr>
        <w:pStyle w:val="Normal"/>
        <w:bidi w:val="0"/>
        <w:spacing w:before="240" w:after="240"/>
        <w:jc w:val="start"/>
        <w:rPr/>
      </w:pPr>
      <w:r>
        <w:rPr/>
        <w:t>Pendant ce temps, plusieurs vivent dans des logements devenus dangereux, inaccessibles ou incompatibles avec leur condition physique. Pour certaines personnes, cela signifie :</w:t>
      </w:r>
    </w:p>
    <w:p>
      <w:pPr>
        <w:pStyle w:val="Normal"/>
        <w:numPr>
          <w:ilvl w:val="0"/>
          <w:numId w:val="12"/>
        </w:numPr>
        <w:bidi w:val="0"/>
        <w:spacing w:before="240" w:after="0"/>
        <w:jc w:val="start"/>
        <w:rPr/>
      </w:pPr>
      <w:r>
        <w:rPr/>
        <w:t>perdre leur autonomie ;</w:t>
      </w:r>
    </w:p>
    <w:p>
      <w:pPr>
        <w:pStyle w:val="Normal"/>
        <w:numPr>
          <w:ilvl w:val="0"/>
          <w:numId w:val="12"/>
        </w:numPr>
        <w:bidi w:val="0"/>
        <w:jc w:val="start"/>
        <w:rPr/>
      </w:pPr>
      <w:r>
        <w:rPr/>
        <w:t>devoir dépendre davantage de leurs proches ;</w:t>
      </w:r>
    </w:p>
    <w:p>
      <w:pPr>
        <w:pStyle w:val="Normal"/>
        <w:numPr>
          <w:ilvl w:val="0"/>
          <w:numId w:val="12"/>
        </w:numPr>
        <w:bidi w:val="0"/>
        <w:jc w:val="start"/>
        <w:rPr/>
      </w:pPr>
      <w:r>
        <w:rPr/>
        <w:t>être contraintes de déménager ;</w:t>
      </w:r>
    </w:p>
    <w:p>
      <w:pPr>
        <w:pStyle w:val="Normal"/>
        <w:numPr>
          <w:ilvl w:val="0"/>
          <w:numId w:val="12"/>
        </w:numPr>
        <w:bidi w:val="0"/>
        <w:spacing w:before="0" w:after="240"/>
        <w:jc w:val="start"/>
        <w:rPr/>
      </w:pPr>
      <w:r>
        <w:rPr/>
        <w:t>ou envisager prématurément l’institutionnalisation.</w:t>
      </w:r>
    </w:p>
    <w:p>
      <w:pPr>
        <w:pStyle w:val="Normal"/>
        <w:bidi w:val="0"/>
        <w:spacing w:before="240" w:after="240"/>
        <w:jc w:val="start"/>
        <w:rPr/>
      </w:pPr>
      <w:r>
        <w:rPr/>
        <w:t>Le RAPLIQ refuse que les personnes handicapées deviennent les victimes silencieuses de décisions comptables.</w:t>
      </w:r>
    </w:p>
    <w:p>
      <w:pPr>
        <w:pStyle w:val="Normal"/>
        <w:bidi w:val="0"/>
        <w:spacing w:before="240" w:after="240"/>
        <w:jc w:val="start"/>
        <w:rPr/>
      </w:pPr>
      <w:r>
        <w:rPr/>
        <w:t>Le maintien à domicile n’est pas un luxe. Ce n’est pas une faveur. C’est une question de dignité humaine, d’autonomie et de respect des droits fondamentaux.</w:t>
      </w:r>
    </w:p>
    <w:p>
      <w:pPr>
        <w:pStyle w:val="Normal"/>
        <w:bidi w:val="0"/>
        <w:spacing w:before="240" w:after="240"/>
        <w:jc w:val="start"/>
        <w:rPr/>
      </w:pPr>
      <w:r>
        <w:rPr/>
        <w:t>Et de plus, il coûte beaucoup moins cher à l’État de maintenir quelqu'un chez lui qu’en institution.</w:t>
      </w:r>
    </w:p>
    <w:p>
      <w:pPr>
        <w:pStyle w:val="Normal"/>
        <w:bidi w:val="0"/>
        <w:spacing w:before="240" w:after="240"/>
        <w:jc w:val="start"/>
        <w:rPr>
          <w:b/>
          <w:bCs/>
          <w:color w:val="000000"/>
          <w:sz w:val="26"/>
          <w:szCs w:val="26"/>
        </w:rPr>
      </w:pPr>
      <w:r>
        <w:rPr/>
        <w:t>Nous continuerons à dénoncer toute mesure qui affaiblit la capacité des personnes handicapées à vivre chez elles, dans leur communauté, avec sécurité et dignité.</w:t>
      </w:r>
    </w:p>
    <w:p>
      <w:pPr>
        <w:pStyle w:val="Heading2"/>
        <w:bidi w:val="0"/>
        <w:jc w:val="start"/>
        <w:rPr>
          <w:b/>
          <w:bCs/>
        </w:rPr>
      </w:pPr>
      <w:bookmarkStart w:id="58" w:name="__RefHeading___Toc11595_3997879255"/>
      <w:bookmarkStart w:id="59" w:name="_Toc231401484"/>
      <w:bookmarkStart w:id="60" w:name="_27ng61ffc9if"/>
      <w:bookmarkEnd w:id="58"/>
      <w:bookmarkEnd w:id="60"/>
      <w:r>
        <w:rPr>
          <w:b/>
          <w:bCs/>
        </w:rPr>
        <w:t>Le RAPLIQ dit NON</w:t>
      </w:r>
      <w:bookmarkEnd w:id="59"/>
    </w:p>
    <w:p>
      <w:pPr>
        <w:pStyle w:val="Normal"/>
        <w:bidi w:val="0"/>
        <w:spacing w:before="240" w:after="240"/>
        <w:jc w:val="start"/>
        <w:rPr/>
      </w:pPr>
      <w:r>
        <w:rPr/>
        <w:t>Non aux compressions déguisées sous des termes comme « réévaluation », « optimisation » ou « réajustement ».</w:t>
      </w:r>
    </w:p>
    <w:p>
      <w:pPr>
        <w:pStyle w:val="Normal"/>
        <w:bidi w:val="0"/>
        <w:spacing w:before="240" w:after="240"/>
        <w:jc w:val="start"/>
        <w:rPr/>
      </w:pPr>
      <w:r>
        <w:rPr/>
        <w:t>Non à un système qui fragilise le maintien à domicile des personnes handicapées et qui transforme des droits fondamentaux en variables budgétaires.</w:t>
      </w:r>
    </w:p>
    <w:p>
      <w:pPr>
        <w:pStyle w:val="Normal"/>
        <w:bidi w:val="0"/>
        <w:spacing w:before="240" w:after="240"/>
        <w:jc w:val="start"/>
        <w:rPr/>
      </w:pPr>
      <w:r>
        <w:rPr/>
        <w:t>Non à l’attente interminable, à l’incertitude et à l’abandon vécu par des milliers de personnes qui souhaitent simplement vivre chez elles, de façon sécuritaire et digne.</w:t>
      </w:r>
    </w:p>
    <w:p>
      <w:pPr>
        <w:pStyle w:val="Normal"/>
        <w:bidi w:val="0"/>
        <w:spacing w:before="240" w:after="240"/>
        <w:jc w:val="start"/>
        <w:rPr/>
      </w:pPr>
      <w:r>
        <w:rPr/>
        <w:t>Non au recul silencieux du Programme d’adaptation de domicile (PAD), alors que celui-ci constitue un levier essentiel d’autonomie et de participation sociale. [</w:t>
      </w:r>
      <w:hyperlink r:id="rId9">
        <w:r>
          <w:rPr>
            <w:rStyle w:val="ListLabel326"/>
            <w:u w:val="single"/>
          </w:rPr>
          <w:t>1</w:t>
        </w:r>
      </w:hyperlink>
      <w:r>
        <w:rPr/>
        <w:t>][</w:t>
      </w:r>
      <w:hyperlink r:id="rId10">
        <w:r>
          <w:rPr>
            <w:rStyle w:val="ListLabel326"/>
            <w:u w:val="single"/>
          </w:rPr>
          <w:t>6</w:t>
        </w:r>
      </w:hyperlink>
      <w:r>
        <w:rPr/>
        <w:t>]</w:t>
      </w:r>
    </w:p>
    <w:p>
      <w:pPr>
        <w:pStyle w:val="Normal"/>
        <w:bidi w:val="0"/>
        <w:spacing w:before="240" w:after="240"/>
        <w:jc w:val="start"/>
        <w:rPr/>
      </w:pPr>
      <w:r>
        <w:rPr/>
        <w:t>Nous demandons :</w:t>
      </w:r>
    </w:p>
    <w:p>
      <w:pPr>
        <w:pStyle w:val="Normal"/>
        <w:numPr>
          <w:ilvl w:val="0"/>
          <w:numId w:val="13"/>
        </w:numPr>
        <w:bidi w:val="0"/>
        <w:spacing w:before="240" w:after="0"/>
        <w:jc w:val="start"/>
        <w:rPr/>
      </w:pPr>
      <w:r>
        <w:rPr/>
        <w:t>Un engagement clair et durable envers le maintien à domicile des personnes handicapées ;</w:t>
      </w:r>
    </w:p>
    <w:p>
      <w:pPr>
        <w:pStyle w:val="Normal"/>
        <w:numPr>
          <w:ilvl w:val="0"/>
          <w:numId w:val="13"/>
        </w:numPr>
        <w:bidi w:val="0"/>
        <w:jc w:val="start"/>
        <w:rPr/>
      </w:pPr>
      <w:r>
        <w:rPr/>
        <w:t>Le rétablissement complet et pérenne du financement du Programme d’adaptation de domicile (PAD) ;</w:t>
      </w:r>
    </w:p>
    <w:p>
      <w:pPr>
        <w:pStyle w:val="Normal"/>
        <w:numPr>
          <w:ilvl w:val="0"/>
          <w:numId w:val="13"/>
        </w:numPr>
        <w:bidi w:val="0"/>
        <w:jc w:val="start"/>
        <w:rPr/>
      </w:pPr>
      <w:r>
        <w:rPr/>
        <w:t>Une vision humaine du soutien à domicile fondée sur l’autonomie, la sécurité et la dignité ;</w:t>
      </w:r>
    </w:p>
    <w:p>
      <w:pPr>
        <w:pStyle w:val="Normal"/>
        <w:numPr>
          <w:ilvl w:val="0"/>
          <w:numId w:val="13"/>
        </w:numPr>
        <w:bidi w:val="0"/>
        <w:jc w:val="start"/>
        <w:rPr/>
      </w:pPr>
      <w:r>
        <w:rPr/>
        <w:t>Une véritable consultation des organismes dirigés par et pour les personnes handicapées avant toute réforme touchant leurs conditions de vie ;</w:t>
      </w:r>
    </w:p>
    <w:p>
      <w:pPr>
        <w:pStyle w:val="Normal"/>
        <w:numPr>
          <w:ilvl w:val="0"/>
          <w:numId w:val="13"/>
        </w:numPr>
        <w:bidi w:val="0"/>
        <w:spacing w:before="0" w:after="240"/>
        <w:jc w:val="start"/>
        <w:rPr/>
      </w:pPr>
      <w:r>
        <w:rPr/>
        <w:t>La reconnaissance pleine et entière du droit des personnes handicapées à vivre dans leur communauté, avec les services nécessaires pour le faire.</w:t>
      </w:r>
    </w:p>
    <w:p>
      <w:pPr>
        <w:pStyle w:val="Normal"/>
        <w:bidi w:val="0"/>
        <w:jc w:val="start"/>
        <w:rPr>
          <w:b/>
          <w:bCs/>
        </w:rPr>
      </w:pPr>
      <w:r>
        <w:rPr>
          <w:b/>
          <w:bCs/>
        </w:rPr>
        <w:t>Nous ne resterons pas silencieux</w:t>
      </w:r>
    </w:p>
    <w:p>
      <w:pPr>
        <w:pStyle w:val="Normal"/>
        <w:bidi w:val="0"/>
        <w:jc w:val="start"/>
        <w:rPr/>
      </w:pPr>
      <w:r>
        <w:rPr/>
        <w:t>Des actions sont en cours, et d’autres suivront. Manifestations, mobilisations, lettres ouvertes, actions juridiques : le RAPLIQ portera haut et fort la voix des personnes qui peuvent difficilement se faire entendre. Nous appelons également à la solidarité de la population, des proches aidants, des professionnel·les, et des autres groupes du milieu communautaire.</w:t>
      </w:r>
    </w:p>
    <w:p>
      <w:pPr>
        <w:pStyle w:val="Normal"/>
        <w:bidi w:val="0"/>
        <w:jc w:val="start"/>
        <w:rPr>
          <w:color w:val="FF0000"/>
        </w:rPr>
      </w:pPr>
      <w:r>
        <w:rPr/>
        <w:t>Nous ne laisserons pas notre autonomie mourir dans l’indifférence.</w:t>
      </w:r>
    </w:p>
    <w:p>
      <w:pPr>
        <w:pStyle w:val="Heading1"/>
        <w:bidi w:val="0"/>
        <w:jc w:val="start"/>
        <w:rPr>
          <w:b/>
          <w:bCs/>
        </w:rPr>
      </w:pPr>
      <w:bookmarkStart w:id="61" w:name="__RefHeading___Toc11597_3997879255"/>
      <w:bookmarkStart w:id="62" w:name="_Toc231401485"/>
      <w:bookmarkStart w:id="63" w:name="_kcic9zrncln6"/>
      <w:bookmarkEnd w:id="61"/>
      <w:bookmarkEnd w:id="63"/>
      <w:r>
        <w:rPr>
          <w:b/>
          <w:bCs/>
        </w:rPr>
        <w:t>Femmes handicapées victimes de violence conjugale : une réalité encore trop invisible</w:t>
      </w:r>
      <w:bookmarkEnd w:id="62"/>
    </w:p>
    <w:p>
      <w:pPr>
        <w:pStyle w:val="Normal"/>
        <w:bidi w:val="0"/>
        <w:jc w:val="start"/>
        <w:rPr/>
      </w:pPr>
      <w:r>
        <w:rPr/>
        <w:t xml:space="preserve">Au cours de l’année 2025-2026, le RAPLIQ a poursuivi ses interventions afin de mieux faire reconnaître la réalité particulière des femmes handicapées victimes de violence conjugale. Ces femmes vivent souvent une double vulnérabilité : à la violence elle-même s’ajoutent l’isolement, la dépendance physique ou financière, les obstacles de communication ainsi que l’inaccessibilité des ressources d’aide. </w:t>
      </w:r>
    </w:p>
    <w:p>
      <w:pPr>
        <w:pStyle w:val="Normal"/>
        <w:bidi w:val="0"/>
        <w:jc w:val="start"/>
        <w:rPr/>
      </w:pPr>
      <w:r>
        <w:rPr/>
      </w:r>
    </w:p>
    <w:p>
      <w:pPr>
        <w:pStyle w:val="Normal"/>
        <w:bidi w:val="0"/>
        <w:jc w:val="start"/>
        <w:rPr/>
      </w:pPr>
      <w:r>
        <w:rPr/>
        <w:t xml:space="preserve">Cette année encore, plusieurs données ont confirmé l’ampleur du problème. Les femmes ayant une incapacité demeurent beaucoup plus susceptibles de subir de la violence psychologique, physique, sexuelle ou économique que les femmes sans incapacité. </w:t>
      </w:r>
    </w:p>
    <w:p>
      <w:pPr>
        <w:pStyle w:val="Normal"/>
        <w:bidi w:val="0"/>
        <w:jc w:val="start"/>
        <w:rPr/>
      </w:pPr>
      <w:r>
        <w:rPr>
          <w:rStyle w:val="Hyperlink"/>
        </w:rPr>
        <w:t>https://www.inspq.qc.ca/violence-conjugale/comprendre/contextes-de-vulnerabilite/femmes-en-situation-handicap</w:t>
      </w:r>
    </w:p>
    <w:p>
      <w:pPr>
        <w:pStyle w:val="Normal"/>
        <w:bidi w:val="0"/>
        <w:jc w:val="start"/>
        <w:rPr/>
      </w:pPr>
      <w:r>
        <w:rPr/>
      </w:r>
    </w:p>
    <w:p>
      <w:pPr>
        <w:pStyle w:val="Normal"/>
        <w:bidi w:val="0"/>
        <w:jc w:val="start"/>
        <w:rPr/>
      </w:pPr>
      <w:r>
        <w:rPr/>
        <w:t>Le RAPLIQ a notamment :</w:t>
      </w:r>
    </w:p>
    <w:p>
      <w:pPr>
        <w:pStyle w:val="Normal"/>
        <w:bidi w:val="0"/>
        <w:jc w:val="start"/>
        <w:rPr/>
      </w:pPr>
      <w:r>
        <w:rPr/>
      </w:r>
    </w:p>
    <w:p>
      <w:pPr>
        <w:pStyle w:val="Normal"/>
        <w:bidi w:val="0"/>
        <w:jc w:val="start"/>
        <w:rPr/>
      </w:pPr>
      <w:r>
        <w:rPr/>
        <w:t>poursuivi ses collaborations avec différents partenaires communautaires et institutionnels ;</w:t>
      </w:r>
    </w:p>
    <w:p>
      <w:pPr>
        <w:pStyle w:val="Normal"/>
        <w:bidi w:val="0"/>
        <w:jc w:val="start"/>
        <w:rPr/>
      </w:pPr>
      <w:r>
        <w:rPr/>
        <w:t>participé à des réflexions sur l’accessibilité des maisons d’hébergement ;</w:t>
      </w:r>
    </w:p>
    <w:p>
      <w:pPr>
        <w:pStyle w:val="Normal"/>
        <w:bidi w:val="0"/>
        <w:jc w:val="start"/>
        <w:rPr/>
      </w:pPr>
      <w:r>
        <w:rPr/>
        <w:t>sensibilisé des intervenant·es policiers et communautaires ;</w:t>
      </w:r>
    </w:p>
    <w:p>
      <w:pPr>
        <w:pStyle w:val="Normal"/>
        <w:bidi w:val="0"/>
        <w:jc w:val="start"/>
        <w:rPr/>
      </w:pPr>
      <w:r>
        <w:rPr/>
        <w:t xml:space="preserve">dénoncé le manque criant de ressources réellement accessibles pour les femmes sourdes, à mobilité réduite ou vivant avec des incapacités invisibles. </w:t>
      </w:r>
    </w:p>
    <w:p>
      <w:pPr>
        <w:pStyle w:val="Normal"/>
        <w:bidi w:val="0"/>
        <w:jc w:val="start"/>
        <w:rPr/>
      </w:pPr>
      <w:bookmarkStart w:id="64" w:name="_h09l2yn7jpc2"/>
      <w:bookmarkEnd w:id="64"/>
      <w:r>
        <w:rPr/>
        <w:t xml:space="preserve">Le RAPLIQ continuera de rappeler qu’aucune femme ne devrait être contrainte de choisir entre la violence et l’absence de ressources accessibles. Et ces mots “aucune femme” comprennent notamment les femmes hadicapées. </w:t>
      </w:r>
    </w:p>
    <w:p>
      <w:pPr>
        <w:pStyle w:val="Heading1"/>
        <w:bidi w:val="0"/>
        <w:jc w:val="start"/>
        <w:rPr>
          <w:b/>
          <w:bCs/>
        </w:rPr>
      </w:pPr>
      <w:bookmarkStart w:id="65" w:name="__RefHeading___Toc11599_3997879255"/>
      <w:bookmarkStart w:id="66" w:name="_Toc231401486"/>
      <w:bookmarkEnd w:id="65"/>
      <w:r>
        <w:rPr>
          <w:b/>
          <w:bCs/>
        </w:rPr>
        <w:t>IVAC : Pour une justice réelle et une réparation digne</w:t>
      </w:r>
      <w:bookmarkEnd w:id="66"/>
    </w:p>
    <w:p>
      <w:pPr>
        <w:pStyle w:val="Normal"/>
        <w:bidi w:val="0"/>
        <w:spacing w:lineRule="auto" w:line="240" w:before="240" w:after="240"/>
        <w:jc w:val="both"/>
        <w:rPr/>
      </w:pPr>
      <w:r>
        <w:rPr/>
        <w:t xml:space="preserve">L’IVAC (Indemnisation des victimes d’actes criminels) a connu une réforme majeure entrée en vigueur le 13 octobre 2021 avec l’adoption de la nouvelle Loi visant à aider les personnes victimes d’infractions criminelles et à favoriser leur rétablissement (LAPVIC). </w:t>
      </w:r>
    </w:p>
    <w:p>
      <w:pPr>
        <w:pStyle w:val="Normal"/>
        <w:bidi w:val="0"/>
        <w:spacing w:lineRule="auto" w:line="240" w:before="240" w:after="240"/>
        <w:jc w:val="both"/>
        <w:rPr/>
      </w:pPr>
      <w:r>
        <w:rPr/>
        <w:t>Cette réforme a apporté certains gains :</w:t>
      </w:r>
    </w:p>
    <w:p>
      <w:pPr>
        <w:pStyle w:val="Normal"/>
        <w:numPr>
          <w:ilvl w:val="0"/>
          <w:numId w:val="14"/>
        </w:numPr>
        <w:bidi w:val="0"/>
        <w:spacing w:lineRule="auto" w:line="240" w:before="240" w:after="0"/>
        <w:jc w:val="start"/>
        <w:rPr/>
      </w:pPr>
      <w:r>
        <w:rPr/>
        <w:t>abolition de plusieurs délais pour les victimes de violence sexuelle ou conjugale ;</w:t>
      </w:r>
    </w:p>
    <w:p>
      <w:pPr>
        <w:pStyle w:val="Normal"/>
        <w:numPr>
          <w:ilvl w:val="0"/>
          <w:numId w:val="14"/>
        </w:numPr>
        <w:bidi w:val="0"/>
        <w:spacing w:lineRule="auto" w:line="240"/>
        <w:jc w:val="start"/>
        <w:rPr/>
      </w:pPr>
      <w:r>
        <w:rPr/>
        <w:t>élargissement des infractions admissibles ;</w:t>
      </w:r>
    </w:p>
    <w:p>
      <w:pPr>
        <w:pStyle w:val="Normal"/>
        <w:numPr>
          <w:ilvl w:val="0"/>
          <w:numId w:val="14"/>
        </w:numPr>
        <w:bidi w:val="0"/>
        <w:spacing w:lineRule="auto" w:line="240" w:before="0" w:after="240"/>
        <w:jc w:val="start"/>
        <w:rPr/>
      </w:pPr>
      <w:r>
        <w:rPr/>
        <w:t xml:space="preserve">meilleure reconnaissance des blessures psychologiques. </w:t>
      </w:r>
    </w:p>
    <w:p>
      <w:pPr>
        <w:pStyle w:val="Normal"/>
        <w:bidi w:val="0"/>
        <w:spacing w:lineRule="auto" w:line="240" w:before="240" w:after="240"/>
        <w:jc w:val="both"/>
        <w:rPr/>
      </w:pPr>
      <w:r>
        <w:rPr/>
        <w:t xml:space="preserve">Cependant, plusieurs groupes — dont le RAPLIQ — dénoncent les impacts négatifs de certaines nouvelles limites imposées, particulièrement pour les personnes handicapées. L’aide financière liée aux incapacités ou pertes de revenus est maintenant limitée à deux ou trois ans dans plusieurs cas. </w:t>
      </w:r>
    </w:p>
    <w:p>
      <w:pPr>
        <w:pStyle w:val="Normal"/>
        <w:bidi w:val="0"/>
        <w:spacing w:lineRule="auto" w:line="240" w:before="240" w:after="240"/>
        <w:jc w:val="both"/>
        <w:rPr/>
      </w:pPr>
      <w:r>
        <w:rPr/>
        <w:t>Pour plusieurs victimes vivant déjà avec des limitations fonctionnelles ou des incapacités permanentes, ces changements ont eu des conséquences majeures :</w:t>
      </w:r>
    </w:p>
    <w:p>
      <w:pPr>
        <w:pStyle w:val="Normal"/>
        <w:numPr>
          <w:ilvl w:val="0"/>
          <w:numId w:val="15"/>
        </w:numPr>
        <w:bidi w:val="0"/>
        <w:spacing w:lineRule="auto" w:line="240" w:before="240" w:after="0"/>
        <w:jc w:val="start"/>
        <w:rPr/>
      </w:pPr>
      <w:r>
        <w:rPr/>
        <w:t>perte de revenus ;</w:t>
      </w:r>
    </w:p>
    <w:p>
      <w:pPr>
        <w:pStyle w:val="Normal"/>
        <w:numPr>
          <w:ilvl w:val="0"/>
          <w:numId w:val="15"/>
        </w:numPr>
        <w:bidi w:val="0"/>
        <w:spacing w:lineRule="auto" w:line="240"/>
        <w:jc w:val="start"/>
        <w:rPr/>
      </w:pPr>
      <w:r>
        <w:rPr/>
        <w:t>interruption de traitements ;</w:t>
      </w:r>
    </w:p>
    <w:p>
      <w:pPr>
        <w:pStyle w:val="Normal"/>
        <w:numPr>
          <w:ilvl w:val="0"/>
          <w:numId w:val="15"/>
        </w:numPr>
        <w:bidi w:val="0"/>
        <w:spacing w:lineRule="auto" w:line="240"/>
        <w:jc w:val="start"/>
        <w:rPr/>
      </w:pPr>
      <w:r>
        <w:rPr/>
        <w:t>détérioration de la santé mentale ;</w:t>
      </w:r>
    </w:p>
    <w:p>
      <w:pPr>
        <w:pStyle w:val="Normal"/>
        <w:numPr>
          <w:ilvl w:val="0"/>
          <w:numId w:val="15"/>
        </w:numPr>
        <w:bidi w:val="0"/>
        <w:spacing w:lineRule="auto" w:line="240" w:before="0" w:after="240"/>
        <w:jc w:val="start"/>
        <w:rPr/>
      </w:pPr>
      <w:r>
        <w:rPr/>
        <w:t>augmentation de la précarité et de l’isolement.</w:t>
      </w:r>
    </w:p>
    <w:p>
      <w:pPr>
        <w:pStyle w:val="Normal"/>
        <w:bidi w:val="0"/>
        <w:spacing w:lineRule="auto" w:line="240" w:before="240" w:after="240"/>
        <w:jc w:val="both"/>
        <w:rPr/>
      </w:pPr>
      <w:r>
        <w:rPr/>
        <w:t>Le RAPLIQ considère que plusieurs victimes handicapées se retrouvent aujourd’hui revictimisées par un système devenu excessivement administratif, rigide et déconnecté de la réalité des traumatismes durables.</w:t>
      </w:r>
    </w:p>
    <w:p>
      <w:pPr>
        <w:pStyle w:val="Normal"/>
        <w:bidi w:val="0"/>
        <w:spacing w:lineRule="auto" w:line="240" w:before="240" w:after="240"/>
        <w:jc w:val="both"/>
        <w:rPr/>
      </w:pPr>
      <w:r>
        <w:rPr/>
        <w:t>Si nous pouvons comprendre la volonté du gouvernement de mieux encadrer certains programmes et de prévenir les abus potentiels, rien ne saurait justifier que, de facto, la bonne foi des personnes qui demandent de l’aide soit systématiquement remise en question.</w:t>
      </w:r>
    </w:p>
    <w:p>
      <w:pPr>
        <w:pStyle w:val="Normal"/>
        <w:bidi w:val="0"/>
        <w:spacing w:lineRule="auto" w:line="240" w:before="240" w:after="240"/>
        <w:jc w:val="both"/>
        <w:rPr/>
      </w:pPr>
      <w:r>
        <w:rPr/>
        <w:t>Le RAPLIQ déplore qu’à travers plusieurs changements apportés au régime de l’IVAC et à d’autres programmes d’aide, les victimes — particulièrement les personnes handicapées ou vivant avec des limitations importantes — aient trop souvent l’impression d’être perçues comme des dossiers à contrôler plutôt que comme des êtres humains à soutenir.</w:t>
      </w:r>
    </w:p>
    <w:p>
      <w:pPr>
        <w:pStyle w:val="Normal"/>
        <w:bidi w:val="0"/>
        <w:spacing w:lineRule="auto" w:line="240" w:before="240" w:after="240"/>
        <w:jc w:val="both"/>
        <w:rPr>
          <w:color w:val="FF0000"/>
          <w:sz w:val="32"/>
          <w:szCs w:val="32"/>
        </w:rPr>
      </w:pPr>
      <w:r>
        <w:rPr/>
        <w:t xml:space="preserve">Derrière chaque demande d’aide se trouvent des personnes vulnérables, souvent déjà fragilisées physiquement, psychologiquement ou financièrement. L’accès à un soutien adéquat ne devrait jamais devenir un parcours d’épuisement administratif où les victimes doivent constamment prouver qu’elles souffrent réellement ou qu’elles méritent d’être aidées. </w:t>
      </w:r>
    </w:p>
    <w:p>
      <w:pPr>
        <w:pStyle w:val="Heading1"/>
        <w:bidi w:val="0"/>
        <w:jc w:val="start"/>
        <w:rPr>
          <w:b/>
          <w:bCs/>
        </w:rPr>
      </w:pPr>
      <w:bookmarkStart w:id="67" w:name="__RefHeading___Toc11601_3997879255"/>
      <w:bookmarkStart w:id="68" w:name="_Toc231401487"/>
      <w:bookmarkStart w:id="69" w:name="_f5m1z61roame"/>
      <w:bookmarkEnd w:id="67"/>
      <w:bookmarkEnd w:id="69"/>
      <w:r>
        <w:rPr>
          <w:b/>
          <w:bCs/>
        </w:rPr>
        <w:t>Terrasses et accessibilité : encore trop de portes fermées</w:t>
      </w:r>
      <w:bookmarkEnd w:id="68"/>
    </w:p>
    <w:p>
      <w:pPr>
        <w:pStyle w:val="Normal"/>
        <w:bidi w:val="0"/>
        <w:spacing w:lineRule="auto" w:line="240" w:before="240" w:after="240"/>
        <w:jc w:val="both"/>
        <w:rPr>
          <w:sz w:val="24"/>
          <w:szCs w:val="24"/>
        </w:rPr>
      </w:pPr>
      <w:r>
        <w:rPr>
          <w:sz w:val="24"/>
          <w:szCs w:val="24"/>
        </w:rPr>
        <w:t>En 2025-2026, le dossier des terrasses accessibles demeure l’un des symboles les plus frappants de l’exclusion vécue quotidiennement par les personnes handicapées, tant à Montréal qu’à travers le Québec.</w:t>
      </w:r>
    </w:p>
    <w:p>
      <w:pPr>
        <w:pStyle w:val="Normal"/>
        <w:bidi w:val="0"/>
        <w:spacing w:lineRule="auto" w:line="240" w:before="240" w:after="240"/>
        <w:jc w:val="both"/>
        <w:rPr>
          <w:sz w:val="24"/>
          <w:szCs w:val="24"/>
        </w:rPr>
      </w:pPr>
      <w:r>
        <w:rPr>
          <w:sz w:val="24"/>
          <w:szCs w:val="24"/>
        </w:rPr>
        <w:t>Malgré l’existence de normes, de guides municipaux et d’outils de sensibilisation, trop de terrasses demeurent difficilement accessibles, voire complètement inaccessibles aux personnes utilisant un fauteuil roulant ou vivant avec certaines limitations fonctionnelles.</w:t>
      </w:r>
    </w:p>
    <w:p>
      <w:pPr>
        <w:pStyle w:val="Normal"/>
        <w:bidi w:val="0"/>
        <w:spacing w:lineRule="auto" w:line="240" w:before="240" w:after="240"/>
        <w:jc w:val="both"/>
        <w:rPr>
          <w:sz w:val="24"/>
          <w:szCs w:val="24"/>
        </w:rPr>
      </w:pPr>
      <w:r>
        <w:rPr>
          <w:sz w:val="24"/>
          <w:szCs w:val="24"/>
        </w:rPr>
        <w:t>Le RAPLIQ est profondément préoccupé par le manque de volonté réelle observé chez plusieurs établissements et instances publiques. Trop souvent, l’accessibilité universelle est traitée comme une contrainte administrative plutôt que comme un droit fondamental.</w:t>
      </w:r>
    </w:p>
    <w:p>
      <w:pPr>
        <w:pStyle w:val="Normal"/>
        <w:bidi w:val="0"/>
        <w:spacing w:lineRule="auto" w:line="240" w:before="240" w:after="240"/>
        <w:jc w:val="both"/>
        <w:rPr>
          <w:sz w:val="24"/>
          <w:szCs w:val="24"/>
        </w:rPr>
      </w:pPr>
      <w:r>
        <w:rPr/>
      </w:r>
    </w:p>
    <w:p>
      <w:pPr>
        <w:pStyle w:val="Normal"/>
        <w:bidi w:val="0"/>
        <w:spacing w:lineRule="auto" w:line="240" w:before="240" w:after="240"/>
        <w:jc w:val="both"/>
        <w:rPr>
          <w:sz w:val="24"/>
          <w:szCs w:val="24"/>
        </w:rPr>
      </w:pPr>
      <w:r>
        <w:rPr/>
      </w:r>
    </w:p>
    <w:p>
      <w:pPr>
        <w:pStyle w:val="Normal"/>
        <w:bidi w:val="0"/>
        <w:spacing w:lineRule="auto" w:line="240" w:before="240" w:after="240"/>
        <w:jc w:val="both"/>
        <w:rPr>
          <w:sz w:val="24"/>
          <w:szCs w:val="24"/>
        </w:rPr>
      </w:pPr>
      <w:r>
        <w:rPr>
          <w:sz w:val="24"/>
          <w:szCs w:val="24"/>
        </w:rPr>
        <w:t>À Montréal comme ailleurs au Québec, plusieurs commerces continuent :</w:t>
      </w:r>
    </w:p>
    <w:p>
      <w:pPr>
        <w:pStyle w:val="Normal"/>
        <w:numPr>
          <w:ilvl w:val="0"/>
          <w:numId w:val="16"/>
        </w:numPr>
        <w:bidi w:val="0"/>
        <w:spacing w:lineRule="auto" w:line="240" w:before="240" w:after="0"/>
        <w:jc w:val="start"/>
        <w:rPr>
          <w:sz w:val="24"/>
          <w:szCs w:val="24"/>
        </w:rPr>
      </w:pPr>
      <w:r>
        <w:rPr>
          <w:sz w:val="24"/>
          <w:szCs w:val="24"/>
        </w:rPr>
        <w:t>d’installer des corridors trop étroits ;</w:t>
      </w:r>
    </w:p>
    <w:p>
      <w:pPr>
        <w:pStyle w:val="Normal"/>
        <w:numPr>
          <w:ilvl w:val="0"/>
          <w:numId w:val="16"/>
        </w:numPr>
        <w:bidi w:val="0"/>
        <w:spacing w:lineRule="auto" w:line="240"/>
        <w:jc w:val="start"/>
        <w:rPr>
          <w:sz w:val="24"/>
          <w:szCs w:val="24"/>
        </w:rPr>
      </w:pPr>
      <w:r>
        <w:rPr>
          <w:sz w:val="24"/>
          <w:szCs w:val="24"/>
        </w:rPr>
        <w:t>d’utiliser du mobilier impossible à contourner ;</w:t>
      </w:r>
    </w:p>
    <w:p>
      <w:pPr>
        <w:pStyle w:val="Normal"/>
        <w:numPr>
          <w:ilvl w:val="0"/>
          <w:numId w:val="16"/>
        </w:numPr>
        <w:bidi w:val="0"/>
        <w:spacing w:lineRule="auto" w:line="240"/>
        <w:jc w:val="start"/>
        <w:rPr>
          <w:sz w:val="24"/>
          <w:szCs w:val="24"/>
        </w:rPr>
      </w:pPr>
      <w:r>
        <w:rPr>
          <w:sz w:val="24"/>
          <w:szCs w:val="24"/>
        </w:rPr>
        <w:t>du mobilier de type Bistro, où il est impossible de s’installer en fauteuil ;</w:t>
      </w:r>
    </w:p>
    <w:p>
      <w:pPr>
        <w:pStyle w:val="Normal"/>
        <w:numPr>
          <w:ilvl w:val="0"/>
          <w:numId w:val="16"/>
        </w:numPr>
        <w:bidi w:val="0"/>
        <w:spacing w:lineRule="auto" w:line="240"/>
        <w:jc w:val="start"/>
        <w:rPr>
          <w:sz w:val="24"/>
          <w:szCs w:val="24"/>
        </w:rPr>
      </w:pPr>
      <w:r>
        <w:rPr>
          <w:sz w:val="24"/>
          <w:szCs w:val="24"/>
        </w:rPr>
        <w:t>d’offrir des accès impraticables ;</w:t>
      </w:r>
    </w:p>
    <w:p>
      <w:pPr>
        <w:pStyle w:val="Normal"/>
        <w:numPr>
          <w:ilvl w:val="0"/>
          <w:numId w:val="16"/>
        </w:numPr>
        <w:bidi w:val="0"/>
        <w:spacing w:lineRule="auto" w:line="240" w:before="0" w:after="240"/>
        <w:jc w:val="start"/>
        <w:rPr>
          <w:sz w:val="24"/>
          <w:szCs w:val="24"/>
        </w:rPr>
      </w:pPr>
      <w:r>
        <w:rPr>
          <w:sz w:val="24"/>
          <w:szCs w:val="24"/>
        </w:rPr>
        <w:t>ou de forcer les personnes handicapées à demander des accommodements humiliants.</w:t>
      </w:r>
    </w:p>
    <w:p>
      <w:pPr>
        <w:pStyle w:val="Normal"/>
        <w:bidi w:val="0"/>
        <w:spacing w:lineRule="auto" w:line="240" w:before="240" w:after="240"/>
        <w:jc w:val="both"/>
        <w:rPr>
          <w:sz w:val="24"/>
          <w:szCs w:val="24"/>
        </w:rPr>
      </w:pPr>
      <w:r>
        <w:rPr>
          <w:sz w:val="24"/>
          <w:szCs w:val="24"/>
        </w:rPr>
        <w:t>Le RAPLIQ continuera de dénoncer cette exclusion normalisée et de rappeler qu’en 2026, personne ne devrait avoir à téléphoner d’avance pour vérifier s’il pourra simplement prendre un café ou partager un repas avec ses proches.</w:t>
      </w:r>
    </w:p>
    <w:p>
      <w:pPr>
        <w:pStyle w:val="Heading1"/>
        <w:bidi w:val="0"/>
        <w:jc w:val="start"/>
        <w:rPr>
          <w:b/>
          <w:bCs/>
        </w:rPr>
      </w:pPr>
      <w:bookmarkStart w:id="70" w:name="__RefHeading___Toc11603_3997879255"/>
      <w:bookmarkStart w:id="71" w:name="_Toc231401488"/>
      <w:bookmarkStart w:id="72" w:name="_70rsig561r78"/>
      <w:bookmarkEnd w:id="70"/>
      <w:bookmarkEnd w:id="72"/>
      <w:r>
        <w:rPr>
          <w:b/>
          <w:bCs/>
        </w:rPr>
        <w:t>Transport adapté, accessibilité et mobilité : des inquiétudes persistantes</w:t>
      </w:r>
      <w:bookmarkEnd w:id="71"/>
    </w:p>
    <w:p>
      <w:pPr>
        <w:pStyle w:val="Normal"/>
        <w:bidi w:val="0"/>
        <w:jc w:val="start"/>
        <w:rPr/>
      </w:pPr>
      <w:r>
        <w:rPr/>
        <w:t>L’année 2025-2026 a été marquée par d’importants débats entourant l’avenir du transport adapté et de l’accessibilité du transport collectif dans la région métropolitaine.</w:t>
      </w:r>
    </w:p>
    <w:p>
      <w:pPr>
        <w:pStyle w:val="Normal"/>
        <w:bidi w:val="0"/>
        <w:jc w:val="start"/>
        <w:rPr/>
      </w:pPr>
      <w:r>
        <w:rPr/>
      </w:r>
    </w:p>
    <w:p>
      <w:pPr>
        <w:pStyle w:val="Normal"/>
        <w:bidi w:val="0"/>
        <w:jc w:val="start"/>
        <w:rPr/>
      </w:pPr>
      <w:r>
        <w:rPr/>
        <w:t>Le RAPLIQ a suivi de près le processus de mutualisation de certains services de transport adapté piloté par l’ARTM et la STM. Bien que nous ayons été rassurés de constater que la planification, l’organisation et la responsabilité globale du service demeurent sous la responsabilité de la STM, nous avons exprimé de solides inquiétudes quant :</w:t>
      </w:r>
    </w:p>
    <w:p>
      <w:pPr>
        <w:pStyle w:val="Normal"/>
        <w:bidi w:val="0"/>
        <w:jc w:val="start"/>
        <w:rPr/>
      </w:pPr>
      <w:r>
        <w:rPr/>
      </w:r>
    </w:p>
    <w:p>
      <w:pPr>
        <w:pStyle w:val="Normal"/>
        <w:bidi w:val="0"/>
        <w:jc w:val="start"/>
        <w:rPr/>
      </w:pPr>
      <w:r>
        <w:rPr/>
        <w:t>à la qualité de la formation des chauffeurs ;</w:t>
      </w:r>
    </w:p>
    <w:p>
      <w:pPr>
        <w:pStyle w:val="Normal"/>
        <w:bidi w:val="0"/>
        <w:jc w:val="start"/>
        <w:rPr/>
      </w:pPr>
      <w:r>
        <w:rPr/>
        <w:t>à la sécurité des usager·ères ;</w:t>
      </w:r>
    </w:p>
    <w:p>
      <w:pPr>
        <w:pStyle w:val="Normal"/>
        <w:bidi w:val="0"/>
        <w:jc w:val="start"/>
        <w:rPr/>
      </w:pPr>
      <w:r>
        <w:rPr/>
        <w:t>au maintien d’un véritable service humain et adapté ;</w:t>
      </w:r>
    </w:p>
    <w:p>
      <w:pPr>
        <w:pStyle w:val="Normal"/>
        <w:bidi w:val="0"/>
        <w:jc w:val="start"/>
        <w:rPr/>
      </w:pPr>
      <w:r>
        <w:rPr/>
        <w:t>ainsi qu’aux impacts possibles sur la politique de « zéro refus ».</w:t>
      </w:r>
    </w:p>
    <w:p>
      <w:pPr>
        <w:pStyle w:val="Normal"/>
        <w:bidi w:val="0"/>
        <w:jc w:val="start"/>
        <w:rPr/>
      </w:pPr>
      <w:r>
        <w:rPr/>
      </w:r>
    </w:p>
    <w:p>
      <w:pPr>
        <w:pStyle w:val="Normal"/>
        <w:bidi w:val="0"/>
        <w:jc w:val="start"/>
        <w:rPr/>
      </w:pPr>
      <w:r>
        <w:rPr/>
        <w:t>Nous sommes rassurés que la planification, l'organisation et la responsabilité demeurent sous la coupe de la STM et nous avons exprimé de solides inquiétudes sur la formation de chauffeurs de Transport adapté.</w:t>
      </w:r>
    </w:p>
    <w:p>
      <w:pPr>
        <w:pStyle w:val="Normal"/>
        <w:bidi w:val="0"/>
        <w:jc w:val="start"/>
        <w:rPr/>
      </w:pPr>
      <w:r>
        <w:rPr/>
      </w:r>
    </w:p>
    <w:p>
      <w:pPr>
        <w:pStyle w:val="Normal"/>
        <w:bidi w:val="0"/>
        <w:jc w:val="start"/>
        <w:rPr/>
      </w:pPr>
      <w:r>
        <w:rPr/>
        <w:t>Nous appelons la STM et les autorités compétentes à garantir que cette réorganisation ne compromette pas les droits et la dignité des usagers du transport adapté.</w:t>
      </w:r>
    </w:p>
    <w:p>
      <w:pPr>
        <w:pStyle w:val="Normal"/>
        <w:bidi w:val="0"/>
        <w:jc w:val="start"/>
        <w:rPr/>
      </w:pPr>
      <w:r>
        <w:rPr/>
      </w:r>
    </w:p>
    <w:p>
      <w:pPr>
        <w:pStyle w:val="Normal"/>
        <w:bidi w:val="0"/>
        <w:jc w:val="start"/>
        <w:rPr/>
      </w:pPr>
      <w:r>
        <w:rPr/>
        <w:t xml:space="preserve">Le RAPLIQ continuera de suivre de près l'évolution de cette situation et de collaborer avec les parties prenantes pour assurer que les droits des personnes handicapées soient pleinement respectés, notamment en ce qui concerne la politique “zéro refus”, politique mise en danger pour l’année 2027 et les suivantes. </w:t>
      </w:r>
    </w:p>
    <w:p>
      <w:pPr>
        <w:pStyle w:val="Normal"/>
        <w:bidi w:val="0"/>
        <w:jc w:val="start"/>
        <w:rPr/>
      </w:pPr>
      <w:r>
        <w:rPr/>
      </w:r>
    </w:p>
    <w:p>
      <w:pPr>
        <w:pStyle w:val="Normal"/>
        <w:bidi w:val="0"/>
        <w:jc w:val="start"/>
        <w:rPr/>
      </w:pPr>
      <w:r>
        <w:rPr/>
        <w:t xml:space="preserve">Parallèlement, le RAPLIQ a poursuivi ses démarches entourant le recours collectif contre la STM, l’ARTM, Exo et la Ville de Montréal. Bien que la Cour supérieure ait rejeté l’action collective, le jugement reconnaît néanmoins l’existence d’une discrimination systémique dans l’accès au transport collectif pour les personnes handicapées. </w:t>
      </w:r>
    </w:p>
    <w:p>
      <w:pPr>
        <w:pStyle w:val="Normal"/>
        <w:bidi w:val="0"/>
        <w:jc w:val="start"/>
        <w:rPr/>
      </w:pPr>
      <w:r>
        <w:rPr/>
      </w:r>
    </w:p>
    <w:p>
      <w:pPr>
        <w:pStyle w:val="Normal"/>
        <w:bidi w:val="0"/>
        <w:jc w:val="start"/>
        <w:rPr/>
      </w:pPr>
      <w:r>
        <w:rPr/>
        <w:t>Le RAPLIQ est également intervenu à plusieurs reprises concernant les nombreux problèmes affectant le REM : interruptions de service, procédures d’urgence inadaptées, problèmes d’orientation et difficultés d’accessibilité pour plusieurs personnes handicapées.</w:t>
      </w:r>
    </w:p>
    <w:p>
      <w:pPr>
        <w:pStyle w:val="Normal"/>
        <w:bidi w:val="0"/>
        <w:jc w:val="start"/>
        <w:rPr/>
      </w:pPr>
      <w:r>
        <w:rPr/>
        <w:t xml:space="preserve">Nous avons notamment exprimé de sérieuses inquiétudes concernant les procédures d’évacuation en situation d’urgence. </w:t>
      </w:r>
    </w:p>
    <w:p>
      <w:pPr>
        <w:pStyle w:val="Normal"/>
        <w:bidi w:val="0"/>
        <w:jc w:val="start"/>
        <w:rPr/>
      </w:pPr>
      <w:r>
        <w:rPr/>
      </w:r>
    </w:p>
    <w:p>
      <w:pPr>
        <w:pStyle w:val="Normal"/>
        <w:bidi w:val="0"/>
        <w:jc w:val="start"/>
        <w:rPr/>
      </w:pPr>
      <w:r>
        <w:rPr/>
        <w:t>Deux situations vécues dernièrement ont démontré que les protocoles actuels ne sont toujours pas pleinement adaptés à la réalité des personnes handicapées. Malgré l’existence de plans de sécurité et d’outils d’assistance d’urgence , plusieurs enjeux demeurent préoccupants :</w:t>
      </w:r>
    </w:p>
    <w:p>
      <w:pPr>
        <w:pStyle w:val="Normal"/>
        <w:bidi w:val="0"/>
        <w:jc w:val="start"/>
        <w:rPr/>
      </w:pPr>
      <w:r>
        <w:rPr/>
      </w:r>
    </w:p>
    <w:p>
      <w:pPr>
        <w:pStyle w:val="Normal"/>
        <w:bidi w:val="0"/>
        <w:jc w:val="start"/>
        <w:rPr/>
      </w:pPr>
      <w:r>
        <w:rPr/>
        <w:t>assistance aux personnes à mobilité réduite ;</w:t>
      </w:r>
    </w:p>
    <w:p>
      <w:pPr>
        <w:pStyle w:val="Normal"/>
        <w:bidi w:val="0"/>
        <w:jc w:val="start"/>
        <w:rPr/>
      </w:pPr>
      <w:r>
        <w:rPr/>
        <w:t>communications en situation de crise ;</w:t>
      </w:r>
    </w:p>
    <w:p>
      <w:pPr>
        <w:pStyle w:val="Normal"/>
        <w:bidi w:val="0"/>
        <w:jc w:val="start"/>
        <w:rPr/>
      </w:pPr>
      <w:r>
        <w:rPr/>
        <w:t>accessibilité des parcours d’évacuation ;</w:t>
      </w:r>
    </w:p>
    <w:p>
      <w:pPr>
        <w:pStyle w:val="Normal"/>
        <w:bidi w:val="0"/>
        <w:jc w:val="start"/>
        <w:rPr/>
      </w:pPr>
      <w:r>
        <w:rPr/>
        <w:t>coordination des mesures d’urgence.</w:t>
      </w:r>
    </w:p>
    <w:p>
      <w:pPr>
        <w:pStyle w:val="Normal"/>
        <w:bidi w:val="0"/>
        <w:jc w:val="start"/>
        <w:rPr/>
      </w:pPr>
      <w:r>
        <w:rPr/>
      </w:r>
    </w:p>
    <w:p>
      <w:pPr>
        <w:pStyle w:val="Normal"/>
        <w:bidi w:val="0"/>
        <w:jc w:val="start"/>
        <w:rPr/>
      </w:pPr>
      <w:r>
        <w:rPr/>
        <w:t>Le RAPLIQ estime qu’un réseau véritablement accessible doit également être en mesure d’assurer l’évacuation sécuritaire et digne de toutes les personnes en cas d’incident majeur.</w:t>
      </w:r>
    </w:p>
    <w:p>
      <w:pPr>
        <w:pStyle w:val="Normal"/>
        <w:bidi w:val="0"/>
        <w:jc w:val="start"/>
        <w:rPr/>
      </w:pPr>
      <w:bookmarkStart w:id="73" w:name="_aqnrft94gfg"/>
      <w:bookmarkEnd w:id="73"/>
      <w:r>
        <w:rPr/>
        <w:t>Enfin, les inquiétudes liées au sous-financement chronique du transport adapté demeurent très préoccupantes pour l’avenir du service.</w:t>
      </w:r>
    </w:p>
    <w:p>
      <w:pPr>
        <w:pStyle w:val="Heading1"/>
        <w:bidi w:val="0"/>
        <w:jc w:val="start"/>
        <w:rPr>
          <w:b/>
          <w:bCs/>
        </w:rPr>
      </w:pPr>
      <w:bookmarkStart w:id="74" w:name="__RefHeading___Toc11605_3997879255"/>
      <w:bookmarkStart w:id="75" w:name="_Toc231401489"/>
      <w:bookmarkStart w:id="76" w:name="_fcudtmdmrqnd"/>
      <w:bookmarkEnd w:id="74"/>
      <w:bookmarkEnd w:id="76"/>
      <w:r>
        <w:rPr>
          <w:b/>
          <w:bCs/>
        </w:rPr>
        <w:t>Accès à la santé et aux services publics</w:t>
      </w:r>
      <w:bookmarkEnd w:id="75"/>
      <w:r>
        <w:rPr>
          <w:b/>
          <w:bCs/>
        </w:rPr>
        <w:t xml:space="preserve"> </w:t>
      </w:r>
    </w:p>
    <w:p>
      <w:pPr>
        <w:pStyle w:val="Normal"/>
        <w:bidi w:val="0"/>
        <w:jc w:val="start"/>
        <w:rPr>
          <w:b/>
          <w:bCs/>
        </w:rPr>
      </w:pPr>
      <w:r>
        <w:rPr>
          <w:b/>
          <w:bCs/>
          <w:sz w:val="40"/>
          <w:szCs w:val="40"/>
        </w:rPr>
        <w:t>encore trop d’obstacles</w:t>
      </w:r>
    </w:p>
    <w:p>
      <w:pPr>
        <w:pStyle w:val="Normal"/>
        <w:bidi w:val="0"/>
        <w:spacing w:before="240" w:after="240"/>
        <w:jc w:val="start"/>
        <w:rPr/>
      </w:pPr>
      <w:r>
        <w:rPr/>
        <w:t>L’année 2025-2026 aura une fois de plus démontré que, malgré les discours sur l’inclusion, les personnes handicapées continuent de faire face à d’importants obstacles dans l’accès aux soins de santé et aux services publics essentiels.</w:t>
      </w:r>
    </w:p>
    <w:p>
      <w:pPr>
        <w:pStyle w:val="Normal"/>
        <w:bidi w:val="0"/>
        <w:spacing w:before="240" w:after="240"/>
        <w:jc w:val="start"/>
        <w:rPr/>
      </w:pPr>
      <w:r>
        <w:rPr/>
        <w:t>Le RAPLIQ a été interpellé dans plusieurs situations touchant :</w:t>
      </w:r>
    </w:p>
    <w:p>
      <w:pPr>
        <w:pStyle w:val="Normal"/>
        <w:numPr>
          <w:ilvl w:val="0"/>
          <w:numId w:val="17"/>
        </w:numPr>
        <w:bidi w:val="0"/>
        <w:spacing w:before="240" w:after="0"/>
        <w:jc w:val="start"/>
        <w:rPr/>
      </w:pPr>
      <w:r>
        <w:rPr/>
        <w:t>l’accès aux médecins et spécialistes ;</w:t>
      </w:r>
    </w:p>
    <w:p>
      <w:pPr>
        <w:pStyle w:val="Normal"/>
        <w:numPr>
          <w:ilvl w:val="0"/>
          <w:numId w:val="17"/>
        </w:numPr>
        <w:bidi w:val="0"/>
        <w:jc w:val="start"/>
        <w:rPr/>
      </w:pPr>
      <w:r>
        <w:rPr/>
        <w:t>les urgences et centres hospitaliers ;</w:t>
      </w:r>
    </w:p>
    <w:p>
      <w:pPr>
        <w:pStyle w:val="Normal"/>
        <w:numPr>
          <w:ilvl w:val="0"/>
          <w:numId w:val="17"/>
        </w:numPr>
        <w:bidi w:val="0"/>
        <w:jc w:val="start"/>
        <w:rPr/>
      </w:pPr>
      <w:r>
        <w:rPr/>
        <w:t>les cliniques de mammographie ;</w:t>
      </w:r>
    </w:p>
    <w:p>
      <w:pPr>
        <w:pStyle w:val="Normal"/>
        <w:numPr>
          <w:ilvl w:val="0"/>
          <w:numId w:val="17"/>
        </w:numPr>
        <w:bidi w:val="0"/>
        <w:jc w:val="start"/>
        <w:rPr/>
      </w:pPr>
      <w:r>
        <w:rPr/>
        <w:t>les services dentaires ;</w:t>
      </w:r>
    </w:p>
    <w:p>
      <w:pPr>
        <w:pStyle w:val="Normal"/>
        <w:numPr>
          <w:ilvl w:val="0"/>
          <w:numId w:val="17"/>
        </w:numPr>
        <w:bidi w:val="0"/>
        <w:jc w:val="start"/>
        <w:rPr/>
      </w:pPr>
      <w:r>
        <w:rPr/>
        <w:t>les cliniques de la vue et d’optométrie ;</w:t>
      </w:r>
    </w:p>
    <w:p>
      <w:pPr>
        <w:pStyle w:val="Normal"/>
        <w:numPr>
          <w:ilvl w:val="0"/>
          <w:numId w:val="17"/>
        </w:numPr>
        <w:bidi w:val="0"/>
        <w:jc w:val="start"/>
        <w:rPr/>
      </w:pPr>
      <w:r>
        <w:rPr/>
        <w:t>les communications adaptées ;</w:t>
      </w:r>
    </w:p>
    <w:p>
      <w:pPr>
        <w:pStyle w:val="Normal"/>
        <w:numPr>
          <w:ilvl w:val="0"/>
          <w:numId w:val="17"/>
        </w:numPr>
        <w:bidi w:val="0"/>
        <w:spacing w:before="0" w:after="240"/>
        <w:jc w:val="start"/>
        <w:rPr/>
      </w:pPr>
      <w:r>
        <w:rPr/>
        <w:t>ainsi que l’accessibilité physique de plusieurs établissements publics.</w:t>
      </w:r>
    </w:p>
    <w:p>
      <w:pPr>
        <w:pStyle w:val="Normal"/>
        <w:bidi w:val="0"/>
        <w:spacing w:before="240" w:after="240"/>
        <w:jc w:val="start"/>
        <w:rPr/>
      </w:pPr>
      <w:r>
        <w:rPr/>
        <w:t>Trop souvent encore, les personnes handicapées doivent :</w:t>
      </w:r>
    </w:p>
    <w:p>
      <w:pPr>
        <w:pStyle w:val="Normal"/>
        <w:numPr>
          <w:ilvl w:val="0"/>
          <w:numId w:val="18"/>
        </w:numPr>
        <w:bidi w:val="0"/>
        <w:spacing w:before="240" w:after="0"/>
        <w:jc w:val="start"/>
        <w:rPr/>
      </w:pPr>
      <w:r>
        <w:rPr/>
        <w:t>expliquer ou justifier leurs besoins ;</w:t>
      </w:r>
    </w:p>
    <w:p>
      <w:pPr>
        <w:pStyle w:val="Normal"/>
        <w:numPr>
          <w:ilvl w:val="0"/>
          <w:numId w:val="18"/>
        </w:numPr>
        <w:bidi w:val="0"/>
        <w:jc w:val="start"/>
        <w:rPr/>
      </w:pPr>
      <w:r>
        <w:rPr/>
        <w:t>subir des installations inadéquates ;</w:t>
      </w:r>
    </w:p>
    <w:p>
      <w:pPr>
        <w:pStyle w:val="Normal"/>
        <w:numPr>
          <w:ilvl w:val="0"/>
          <w:numId w:val="18"/>
        </w:numPr>
        <w:bidi w:val="0"/>
        <w:jc w:val="start"/>
        <w:rPr/>
      </w:pPr>
      <w:r>
        <w:rPr/>
        <w:t>composer avec des équipements non accessibles ;</w:t>
      </w:r>
    </w:p>
    <w:p>
      <w:pPr>
        <w:pStyle w:val="Normal"/>
        <w:numPr>
          <w:ilvl w:val="0"/>
          <w:numId w:val="18"/>
        </w:numPr>
        <w:bidi w:val="0"/>
        <w:spacing w:before="0" w:after="240"/>
        <w:jc w:val="start"/>
        <w:rPr/>
      </w:pPr>
      <w:r>
        <w:rPr/>
        <w:t>ou renoncer à certains soins faute d’accommodements raisonnables.</w:t>
      </w:r>
    </w:p>
    <w:p>
      <w:pPr>
        <w:pStyle w:val="Normal"/>
        <w:bidi w:val="0"/>
        <w:spacing w:before="240" w:after="240"/>
        <w:jc w:val="start"/>
        <w:rPr/>
      </w:pPr>
      <w:r>
        <w:rPr/>
        <w:t>Le RAPLIQ considère qu’il est inacceptable qu’en 2026, l’accès à des soins de base puisse encore dépendre du type de handicap d’une personne ou de sa capacité à « s’adapter » au système plutôt que l’inverse.</w:t>
      </w:r>
    </w:p>
    <w:p>
      <w:pPr>
        <w:pStyle w:val="Normal"/>
        <w:bidi w:val="0"/>
        <w:spacing w:before="240" w:after="240"/>
        <w:jc w:val="start"/>
        <w:rPr/>
      </w:pPr>
      <w:r>
        <w:rPr/>
        <w:t>Bien que plusieurs établissements du réseau de la santé aient adopté des plans d’action en matière d’accessibilité, les écarts entre les politiques et la réalité terrain demeurent majeurs.</w:t>
      </w:r>
    </w:p>
    <w:p>
      <w:pPr>
        <w:pStyle w:val="Normal"/>
        <w:bidi w:val="0"/>
        <w:spacing w:before="240" w:after="240"/>
        <w:jc w:val="start"/>
        <w:rPr/>
      </w:pPr>
      <w:r>
        <w:rPr/>
        <w:t>Le RAPLIQ poursuivra ses interventions afin que l’accessibilité universelle soit considérée comme une obligation fondamentale dans tous les services publics, et non comme une mesure optionnelle ou secondaire.</w:t>
      </w:r>
    </w:p>
    <w:p>
      <w:pPr>
        <w:pStyle w:val="Heading2"/>
        <w:bidi w:val="0"/>
        <w:jc w:val="start"/>
        <w:rPr>
          <w:b/>
          <w:bCs/>
        </w:rPr>
      </w:pPr>
      <w:bookmarkStart w:id="77" w:name="__RefHeading___Toc11607_3997879255"/>
      <w:bookmarkStart w:id="78" w:name="_Toc231401490"/>
      <w:bookmarkEnd w:id="77"/>
      <w:r>
        <w:rPr>
          <w:b/>
          <w:bCs/>
        </w:rPr>
        <w:t>Cliniques de mammographie</w:t>
      </w:r>
      <w:bookmarkEnd w:id="78"/>
    </w:p>
    <w:p>
      <w:pPr>
        <w:pStyle w:val="Normal"/>
        <w:bidi w:val="0"/>
        <w:spacing w:before="240" w:after="240"/>
        <w:jc w:val="start"/>
        <w:rPr/>
      </w:pPr>
      <w:r>
        <w:rPr/>
        <w:t xml:space="preserve">Nous avons été alertés par des membres quant à l’inaccessibilité physique ou logistique de plusieurs cliniques de dépistage du cancer du sein. Des démarches ont été entreprises auprès du ministère de la Santé afin de répertorier les points de non-conformité et exiger des correctifs. Une collaboration est toujours en cours entre nous et les gestionnaires du programme québécois de cancérologie du Ministère de la Santé et des Services Sociaux est établie, ce qui mènera à des résultats d’ici peu. </w:t>
      </w:r>
    </w:p>
    <w:p>
      <w:pPr>
        <w:pStyle w:val="Heading2"/>
        <w:bidi w:val="0"/>
        <w:jc w:val="start"/>
        <w:rPr>
          <w:b/>
          <w:bCs/>
        </w:rPr>
      </w:pPr>
      <w:bookmarkStart w:id="79" w:name="__RefHeading___Toc11609_3997879255"/>
      <w:bookmarkStart w:id="80" w:name="_Toc231401491"/>
      <w:bookmarkEnd w:id="79"/>
      <w:r>
        <w:rPr>
          <w:b/>
          <w:bCs/>
        </w:rPr>
        <w:t>RISBOd (Réseau intersectoriel de recherche en santé buccodentaire et osseuse durable)</w:t>
      </w:r>
      <w:bookmarkEnd w:id="80"/>
    </w:p>
    <w:p>
      <w:pPr>
        <w:pStyle w:val="Normal"/>
        <w:shd w:fill="FFFFFF" w:val="clear"/>
        <w:bidi w:val="0"/>
        <w:spacing w:before="360" w:after="360"/>
        <w:jc w:val="start"/>
        <w:rPr/>
      </w:pPr>
      <w:r>
        <w:rPr/>
        <w:t xml:space="preserve">Linda Gauthier siège sur le comité de direction du </w:t>
      </w:r>
      <w:r>
        <w:rPr>
          <w:color w:val="050505"/>
        </w:rPr>
        <w:t>RISBOd</w:t>
      </w:r>
      <w:r>
        <w:rPr/>
        <w:t xml:space="preserve"> ( Réseau Québécois de recherche intersectorielle en santé buccodentaire et osseuse durable), depuis avril 2023.</w:t>
      </w:r>
    </w:p>
    <w:p>
      <w:pPr>
        <w:pStyle w:val="Normal"/>
        <w:shd w:fill="FFFFFF" w:val="clear"/>
        <w:bidi w:val="0"/>
        <w:spacing w:before="360" w:after="360"/>
        <w:jc w:val="start"/>
        <w:rPr/>
      </w:pPr>
      <w:r>
        <w:rPr/>
        <w:t>Elle (pour le RAPLIQ) agit en tant que membre directeur partenaire du réseau, pour conscientiser les scientifiques à l’importance capitale de l’accessibilité universelle et l’inclusion sociale dans toutes les sphères de leurs recherches.</w:t>
        <w:tab/>
        <w:tab/>
        <w:tab/>
        <w:tab/>
        <w:tab/>
        <w:tab/>
        <w:tab/>
        <w:tab/>
        <w:tab/>
        <w:tab/>
        <w:tab/>
        <w:tab/>
        <w:tab/>
        <w:tab/>
        <w:tab/>
      </w:r>
      <w:r>
        <w:rPr>
          <w:rFonts w:eastAsia="Roboto" w:cs="Roboto" w:ascii="Roboto" w:hAnsi="Roboto"/>
          <w:b/>
          <w:bCs/>
          <w:i/>
          <w:iCs/>
        </w:rPr>
        <w:t>"Nous sommes honorés de collaborer avec le RISBOd pour promouvoir des pratiques de recherche inclusives et accessibles à tous."</w:t>
      </w:r>
    </w:p>
    <w:p>
      <w:pPr>
        <w:pStyle w:val="Normal"/>
        <w:shd w:fill="FFFFFF" w:val="clear"/>
        <w:bidi w:val="0"/>
        <w:spacing w:before="360" w:after="360"/>
        <w:jc w:val="start"/>
        <w:rPr>
          <w:rFonts w:ascii="Roboto" w:hAnsi="Roboto" w:eastAsia="Roboto" w:cs="Roboto"/>
          <w:b/>
          <w:bCs/>
        </w:rPr>
      </w:pPr>
      <w:r>
        <w:rPr>
          <w:rFonts w:eastAsia="Roboto" w:cs="Roboto" w:ascii="Roboto" w:hAnsi="Roboto"/>
          <w:b/>
          <w:bCs/>
        </w:rPr>
        <w:t xml:space="preserve">— </w:t>
      </w:r>
      <w:r>
        <w:rPr>
          <w:rFonts w:eastAsia="Roboto" w:cs="Roboto" w:ascii="Roboto" w:hAnsi="Roboto"/>
          <w:b/>
          <w:bCs/>
        </w:rPr>
        <w:t>Linda Gauthier</w:t>
      </w:r>
    </w:p>
    <w:p>
      <w:pPr>
        <w:pStyle w:val="Heading1"/>
        <w:bidi w:val="0"/>
        <w:jc w:val="start"/>
        <w:rPr>
          <w:b/>
          <w:bCs/>
        </w:rPr>
      </w:pPr>
      <w:bookmarkStart w:id="81" w:name="__RefHeading___Toc11611_3997879255"/>
      <w:bookmarkStart w:id="82" w:name="_Toc231401492"/>
      <w:bookmarkStart w:id="83" w:name="_179biadryv80"/>
      <w:bookmarkEnd w:id="81"/>
      <w:bookmarkEnd w:id="83"/>
      <w:r>
        <w:rPr>
          <w:b/>
          <w:bCs/>
        </w:rPr>
        <w:t>Suivi sur l’action collective</w:t>
      </w:r>
      <w:bookmarkEnd w:id="82"/>
    </w:p>
    <w:p>
      <w:pPr>
        <w:pStyle w:val="Normal"/>
        <w:bidi w:val="0"/>
        <w:spacing w:before="240" w:after="240"/>
        <w:jc w:val="both"/>
        <w:rPr/>
      </w:pPr>
      <w:r>
        <w:rPr/>
        <w:t>Au moment d’écrire ces lignes, en mai 2026, le dossier de l’action collective intentée contre la STM, l’ARTM, Exo et la Ville de Montréal continue de marquer profondément les réflexions entourant l’accessibilité du transport collectif au Québec.</w:t>
      </w:r>
    </w:p>
    <w:p>
      <w:pPr>
        <w:pStyle w:val="Normal"/>
        <w:bidi w:val="0"/>
        <w:spacing w:before="240" w:after="240"/>
        <w:jc w:val="both"/>
        <w:rPr/>
      </w:pPr>
      <w:r>
        <w:rPr/>
        <w:t xml:space="preserve">Bien que le jugement ait ultimement rejeté l’action collective, plusieurs éléments importants ressortent néanmoins du dossier. Pendant des années, des centaines de témoignages ont permis de documenter des situations répétées de discrimination systémique vécues par les personnes handicapées dans le réseau de transport collectif : retards, refus de service, manque d’accessibilité et impacts majeurs sur la participation sociale. </w:t>
      </w:r>
    </w:p>
    <w:p>
      <w:pPr>
        <w:pStyle w:val="Normal"/>
        <w:bidi w:val="0"/>
        <w:spacing w:before="240" w:after="240"/>
        <w:jc w:val="both"/>
        <w:rPr/>
      </w:pPr>
      <w:r>
        <w:rPr/>
        <w:t>Au-delà de l’issue judiciaire, le RAPLIQ demeure convaincu que cette action collective aura permis de mettre en lumière une réalité trop souvent minimisée : pour plusieurs personnes handicapées, l’accès au transport collectif demeure précaire, imprévisible et inégal.</w:t>
      </w:r>
    </w:p>
    <w:p>
      <w:pPr>
        <w:pStyle w:val="Normal"/>
        <w:bidi w:val="0"/>
        <w:spacing w:before="240" w:after="240"/>
        <w:jc w:val="both"/>
        <w:rPr/>
      </w:pPr>
      <w:r>
        <w:rPr/>
        <w:t>Les difficultés financières des sociétés de transport, les débats entourant la mutualisation du transport adapté ainsi que le ralentissement de plusieurs projets d’accessibilité continuent d’alimenter nos inquiétudes pour l’avenir.</w:t>
      </w:r>
    </w:p>
    <w:p>
      <w:pPr>
        <w:pStyle w:val="Normal"/>
        <w:bidi w:val="0"/>
        <w:spacing w:before="240" w:after="240"/>
        <w:jc w:val="both"/>
        <w:rPr/>
      </w:pPr>
      <w:r>
        <w:rPr/>
        <w:t>Le RAPLIQ poursuit ses interventions afin que l’accessibilité universelle cesse d’être perçue comme une dépense facultative et soit enfin reconnue comme une obligation fondamentale.</w:t>
      </w:r>
    </w:p>
    <w:p>
      <w:pPr>
        <w:pStyle w:val="Normal"/>
        <w:bidi w:val="0"/>
        <w:spacing w:before="240" w:after="240"/>
        <w:jc w:val="both"/>
        <w:rPr/>
      </w:pPr>
      <w:r>
        <w:rPr>
          <w:b/>
          <w:bCs/>
        </w:rPr>
        <w:t>Un élément extrêmement important ressort également de ce jugement : le manque d’accessibilité n’est plus simplement perçu comme un « mauvais service à la clientèle » ou une difficulté opérationnelle, mais bien comme une question de discrimination fondée sur le handicap</w:t>
      </w:r>
      <w:r>
        <w:rPr/>
        <w:t>. Même si l’action collective n’a pas été accueillie favorablement dans son ensemble, le dossier aura contribué à faire évoluer le regard juridique et social porté sur l’accessibilité universelle. Les obstacles vécus quotidiennement par les personnes handicapées dans le transport collectif ne relèvent pas uniquement d’inconvénients techniques ou administratifs : ils peuvent constituer une atteinte réelle au droit à l’égalité et à la dignité.</w:t>
      </w:r>
    </w:p>
    <w:p>
      <w:pPr>
        <w:pStyle w:val="Normal"/>
        <w:bidi w:val="0"/>
        <w:spacing w:before="240" w:after="240"/>
        <w:jc w:val="both"/>
        <w:rPr/>
      </w:pPr>
      <w:r>
        <w:rPr/>
        <w:t xml:space="preserve">Pour le RAPLIQ, cette reconnaissance demeure fondamentale. Elle confirme que l’accessibilité universelle n’est pas un geste de courtoisie ou de bonne volonté, mais une obligation découlant directement des droits de la personne. Et les efforts du RAPLIQ ne sont pas terminés. </w:t>
      </w:r>
    </w:p>
    <w:p>
      <w:pPr>
        <w:pStyle w:val="Heading1"/>
        <w:bidi w:val="0"/>
        <w:jc w:val="start"/>
        <w:rPr>
          <w:b/>
          <w:bCs/>
        </w:rPr>
      </w:pPr>
      <w:bookmarkStart w:id="84" w:name="__RefHeading___Toc11613_3997879255"/>
      <w:bookmarkStart w:id="85" w:name="_Toc231401493"/>
      <w:bookmarkEnd w:id="84"/>
      <w:r>
        <w:rPr>
          <w:b/>
          <w:bCs/>
        </w:rPr>
        <w:t>Personnes handicapées et discrimination à l’embauche</w:t>
      </w:r>
      <w:bookmarkEnd w:id="85"/>
    </w:p>
    <w:p>
      <w:pPr>
        <w:pStyle w:val="Normal"/>
        <w:bidi w:val="0"/>
        <w:spacing w:before="240" w:after="240"/>
        <w:jc w:val="start"/>
        <w:rPr/>
      </w:pPr>
      <w:r>
        <w:rPr/>
        <w:t>Malgré plusieurs engagements gouvernementaux et la mise en place de programmes d’accès à l’égalité en emploi, les personnes handicapées continuent d’être confrontées à des préjugés persistants, à des refus d’embauche déguisés et à des obstacles systémiques dans plusieurs milieux de travail.</w:t>
      </w:r>
    </w:p>
    <w:p>
      <w:pPr>
        <w:pStyle w:val="Normal"/>
        <w:bidi w:val="0"/>
        <w:spacing w:before="240" w:after="240"/>
        <w:jc w:val="start"/>
        <w:rPr/>
      </w:pPr>
      <w:r>
        <w:rPr/>
        <w:t>Le RAPLIQ a poursuivi son travail d’accompagnement auprès de membres victimes de discrimination fondée sur le handicap dans le cadre de processus d’embauche ou de maintien en emploi. Nous avons également continué nos échanges avec la Commission des droits de la personne et des droits de la jeunesse (CDPDJ) concernant les enjeux liés à l’emploi et à l’accessibilité des milieux de travail.</w:t>
      </w:r>
    </w:p>
    <w:p>
      <w:pPr>
        <w:pStyle w:val="Normal"/>
        <w:bidi w:val="0"/>
        <w:spacing w:before="240" w:after="240"/>
        <w:jc w:val="start"/>
        <w:rPr/>
      </w:pPr>
      <w:r>
        <w:rPr/>
        <w:t xml:space="preserve">Pour le RAPLIQ, l’inclusion professionnelle ne peut se limiter à des objectifs statistiques : elle doit se traduire par des changements concrets, durables et humains dans les pratiques d’embauche et les cultures organisationnelles et non pas par des plans d’intentions déguisés en plan d’action, sans objectifs mesurables d’employabilité et sans mesures coercitives si les objectifs ne sont pas atteints. </w:t>
      </w:r>
    </w:p>
    <w:p>
      <w:pPr>
        <w:pStyle w:val="Normal"/>
        <w:bidi w:val="0"/>
        <w:jc w:val="start"/>
        <w:rPr/>
      </w:pPr>
      <w:r>
        <w:rPr/>
      </w:r>
    </w:p>
    <w:p>
      <w:pPr>
        <w:pStyle w:val="Heading1"/>
        <w:keepNext w:val="false"/>
        <w:keepLines w:val="false"/>
        <w:bidi w:val="0"/>
        <w:spacing w:before="280" w:after="120"/>
        <w:jc w:val="start"/>
        <w:rPr>
          <w:b/>
          <w:bCs/>
        </w:rPr>
      </w:pPr>
      <w:bookmarkStart w:id="86" w:name="__RefHeading___Toc11615_3997879255"/>
      <w:bookmarkStart w:id="87" w:name="_Toc231401494"/>
      <w:bookmarkStart w:id="88" w:name="_t0qwlq88l6a8"/>
      <w:bookmarkEnd w:id="86"/>
      <w:bookmarkEnd w:id="88"/>
      <w:r>
        <w:rPr>
          <w:b/>
          <w:bCs/>
        </w:rPr>
        <w:t xml:space="preserve">Assistance sexuelle, série </w:t>
      </w:r>
      <w:r>
        <w:rPr>
          <w:b/>
          <w:bCs/>
          <w:i/>
          <w:iCs/>
        </w:rPr>
        <w:t>Toucher</w:t>
      </w:r>
      <w:r>
        <w:rPr>
          <w:b/>
          <w:bCs/>
        </w:rPr>
        <w:t xml:space="preserve"> et réflexion internationale</w:t>
      </w:r>
      <w:bookmarkEnd w:id="87"/>
    </w:p>
    <w:p>
      <w:pPr>
        <w:pStyle w:val="Normal"/>
        <w:bidi w:val="0"/>
        <w:spacing w:before="240" w:after="240"/>
        <w:jc w:val="start"/>
        <w:rPr/>
      </w:pPr>
      <w:r>
        <w:rPr/>
        <w:t>Au cours de l’année 2025-2026, le RAPLIQ a poursuivi son travail de sensibilisation concernant le droit à la vie affective, relationnelle et sexuelle des personnes handicapées, un sujet encore largement tabou dans notre société.</w:t>
      </w:r>
    </w:p>
    <w:p>
      <w:pPr>
        <w:pStyle w:val="Normal"/>
        <w:bidi w:val="0"/>
        <w:spacing w:before="240" w:after="240"/>
        <w:jc w:val="start"/>
        <w:rPr/>
      </w:pPr>
      <w:r>
        <w:rPr/>
        <w:t xml:space="preserve">Le RAPLIQ a notamment participé à la promotion de la série documentaire </w:t>
      </w:r>
      <w:r>
        <w:rPr>
          <w:i/>
          <w:iCs/>
        </w:rPr>
        <w:t>Toucher</w:t>
      </w:r>
      <w:r>
        <w:rPr/>
        <w:t xml:space="preserve">, diffusée sur AMI-télé, qui aborde avec humanité et sans sensationnalisme les réalités entourant l’assistance sexuelle, l’intimité et les besoins affectifs des personnes handicapées. </w:t>
      </w:r>
    </w:p>
    <w:p>
      <w:pPr>
        <w:pStyle w:val="Normal"/>
        <w:bidi w:val="0"/>
        <w:spacing w:before="240" w:after="240"/>
        <w:jc w:val="start"/>
        <w:rPr/>
      </w:pPr>
      <w:r>
        <w:rPr/>
        <w:t xml:space="preserve">Notre directeur général, Steven Laperrière, a également participé à la première ainsi qu’à la dernière émission de la série à titre d’intervenant et d’expert invité. Il y a notamment abordé les enjeux sociaux entourant l’accompagnement sexuel, ainsi que les réalités vécues par les personnes handicapées au Québec. </w:t>
      </w:r>
    </w:p>
    <w:p>
      <w:pPr>
        <w:pStyle w:val="Normal"/>
        <w:bidi w:val="0"/>
        <w:spacing w:before="240" w:after="240"/>
        <w:jc w:val="start"/>
        <w:rPr/>
      </w:pPr>
      <w:r>
        <w:rPr/>
        <w:t xml:space="preserve">Nous avons également soutenu la promotion du film </w:t>
      </w:r>
      <w:r>
        <w:rPr>
          <w:i/>
          <w:iCs/>
        </w:rPr>
        <w:t>Invisibles</w:t>
      </w:r>
      <w:r>
        <w:rPr/>
        <w:t>, œuvre marquante abordant sans détour les enjeux entourant la sexualité, le handicap et le travail du sexe “spécialisé” pour les personnes handicapées.</w:t>
      </w:r>
    </w:p>
    <w:p>
      <w:pPr>
        <w:pStyle w:val="Normal"/>
        <w:bidi w:val="0"/>
        <w:spacing w:before="240" w:after="240"/>
        <w:jc w:val="start"/>
        <w:rPr/>
      </w:pPr>
      <w:r>
        <w:rPr/>
        <w:t xml:space="preserve">Dans le cadre de ce dossier, le RAPLIQ poursuit également une réflexion comparative sur les modèles d’accompagnement sexuel existant dans différents pays, notamment en Suisse, aux Pays-Bas, en Allemagne et au Danemark, où certaines formes d’assistance sexuelle sont reconnues ou encadrées différemment. </w:t>
      </w:r>
    </w:p>
    <w:p>
      <w:pPr>
        <w:pStyle w:val="Normal"/>
        <w:bidi w:val="0"/>
        <w:spacing w:before="240" w:after="240"/>
        <w:jc w:val="start"/>
        <w:rPr/>
      </w:pPr>
      <w:r>
        <w:rPr/>
        <w:t>À travers ces démarches, le RAPLIQ souhaite contribuer à un débat social respectueux, centré sur la dignité, l’autonomie et les droits fondamentaux des personnes handicapées.</w:t>
      </w:r>
    </w:p>
    <w:p>
      <w:pPr>
        <w:pStyle w:val="Heading1"/>
        <w:bidi w:val="0"/>
        <w:jc w:val="start"/>
        <w:rPr>
          <w:b/>
          <w:bCs/>
        </w:rPr>
      </w:pPr>
      <w:bookmarkStart w:id="89" w:name="__RefHeading___Toc11617_3997879255"/>
      <w:bookmarkStart w:id="90" w:name="_Toc231401495"/>
      <w:bookmarkEnd w:id="89"/>
      <w:r>
        <w:rPr>
          <w:b/>
          <w:bCs/>
        </w:rPr>
        <w:t>Soutien à domicile</w:t>
      </w:r>
      <w:bookmarkEnd w:id="90"/>
    </w:p>
    <w:p>
      <w:pPr>
        <w:pStyle w:val="Normal"/>
        <w:bidi w:val="0"/>
        <w:spacing w:before="240" w:after="240"/>
        <w:jc w:val="both"/>
        <w:rPr/>
      </w:pPr>
      <w:r>
        <w:rPr/>
        <w:t xml:space="preserve">L’année 2025-2026 aura été marquée par une profonde transformation du discours gouvernemental entourant le soutien à domicile avec le lancement de la politique nationale </w:t>
      </w:r>
      <w:r>
        <w:rPr>
          <w:i/>
          <w:iCs/>
        </w:rPr>
        <w:t>Mieux chez soi</w:t>
      </w:r>
      <w:r>
        <w:rPr/>
        <w:t xml:space="preserve">. </w:t>
      </w:r>
    </w:p>
    <w:p>
      <w:pPr>
        <w:pStyle w:val="Normal"/>
        <w:bidi w:val="0"/>
        <w:spacing w:before="240" w:after="240"/>
        <w:jc w:val="both"/>
        <w:rPr/>
      </w:pPr>
      <w:r>
        <w:rPr/>
        <w:t>Si le RAPLIQ reconnaît l’importance d’investir davantage dans le maintien à domicile et de mieux soutenir les proches aidants, nous demeurons extrêmement vigilants quant aux impacts réels de cette réforme pour les personnes handicapées.</w:t>
      </w:r>
    </w:p>
    <w:p>
      <w:pPr>
        <w:pStyle w:val="Normal"/>
        <w:bidi w:val="0"/>
        <w:spacing w:before="240" w:after="240"/>
        <w:jc w:val="both"/>
        <w:rPr/>
      </w:pPr>
      <w:r>
        <w:rPr/>
        <w:t xml:space="preserve">Le changement du Chèque emploi-service vers l’« Allocation autonomie à domicile », les incertitudes entourant l’accès aux services, les retards persistants du Programme d’adaptation de domicile (PAD), ainsi que la pression croissante exercée sur les réseaux communautaires et les proches aidants soulèvent d’importantes préoccupations. </w:t>
      </w:r>
    </w:p>
    <w:p>
      <w:pPr>
        <w:pStyle w:val="Normal"/>
        <w:bidi w:val="0"/>
        <w:spacing w:before="240" w:after="240"/>
        <w:jc w:val="both"/>
        <w:rPr/>
      </w:pPr>
      <w:r>
        <w:rPr/>
        <w:t>C’est dans ce contexte que le RAPLIQ a poursuivi son implication active au sein de la Coalition Solidarité Santé et de la Coalition Services en péril, afin de défendre une vision du soutien à domicile fondée sur :</w:t>
      </w:r>
    </w:p>
    <w:p>
      <w:pPr>
        <w:pStyle w:val="Normal"/>
        <w:numPr>
          <w:ilvl w:val="0"/>
          <w:numId w:val="19"/>
        </w:numPr>
        <w:bidi w:val="0"/>
        <w:spacing w:before="240" w:after="0"/>
        <w:jc w:val="start"/>
        <w:rPr/>
      </w:pPr>
      <w:r>
        <w:rPr/>
        <w:t>la dignité ;</w:t>
      </w:r>
    </w:p>
    <w:p>
      <w:pPr>
        <w:pStyle w:val="Normal"/>
        <w:numPr>
          <w:ilvl w:val="0"/>
          <w:numId w:val="19"/>
        </w:numPr>
        <w:bidi w:val="0"/>
        <w:jc w:val="start"/>
        <w:rPr/>
      </w:pPr>
      <w:r>
        <w:rPr/>
        <w:t>l’autodétermination ;</w:t>
      </w:r>
    </w:p>
    <w:p>
      <w:pPr>
        <w:pStyle w:val="Normal"/>
        <w:numPr>
          <w:ilvl w:val="0"/>
          <w:numId w:val="19"/>
        </w:numPr>
        <w:bidi w:val="0"/>
        <w:jc w:val="start"/>
        <w:rPr/>
      </w:pPr>
      <w:r>
        <w:rPr/>
        <w:t>l’accessibilité universelle ;</w:t>
      </w:r>
    </w:p>
    <w:p>
      <w:pPr>
        <w:pStyle w:val="Normal"/>
        <w:numPr>
          <w:ilvl w:val="0"/>
          <w:numId w:val="19"/>
        </w:numPr>
        <w:bidi w:val="0"/>
        <w:spacing w:before="0" w:after="240"/>
        <w:jc w:val="start"/>
        <w:rPr/>
      </w:pPr>
      <w:r>
        <w:rPr/>
        <w:t>et le droit fondamental des personnes handicapées de vivre dans leur communauté.</w:t>
      </w:r>
    </w:p>
    <w:p>
      <w:pPr>
        <w:pStyle w:val="Normal"/>
        <w:bidi w:val="0"/>
        <w:spacing w:before="240" w:after="240"/>
        <w:jc w:val="both"/>
        <w:rPr/>
      </w:pPr>
      <w:r>
        <w:rPr/>
        <w:t>Le RAPLIQ continuera de rappeler qu’aucune réforme ne peut être considérée comme un progrès si elle entraîne davantage de précarité, d’attente ou d’exclusion pour les personnes les plus vulnérables.</w:t>
      </w:r>
    </w:p>
    <w:p>
      <w:pPr>
        <w:pStyle w:val="Heading1"/>
        <w:bidi w:val="0"/>
        <w:jc w:val="start"/>
        <w:rPr>
          <w:b/>
          <w:bCs/>
        </w:rPr>
      </w:pPr>
      <w:bookmarkStart w:id="91" w:name="__RefHeading___Toc11619_3997879255"/>
      <w:bookmarkStart w:id="92" w:name="_Toc231401496"/>
      <w:bookmarkEnd w:id="91"/>
      <w:r>
        <w:rPr>
          <w:b/>
          <w:bCs/>
        </w:rPr>
        <w:t>Fermeture de la voie Camilien-Houde</w:t>
      </w:r>
      <w:bookmarkEnd w:id="92"/>
    </w:p>
    <w:p>
      <w:pPr>
        <w:pStyle w:val="Normal"/>
        <w:bidi w:val="0"/>
        <w:jc w:val="start"/>
        <w:rPr/>
      </w:pPr>
      <w:bookmarkStart w:id="93" w:name="_j2bqmgcpc70t"/>
      <w:bookmarkEnd w:id="93"/>
      <w:r>
        <w:rPr/>
        <w:t xml:space="preserve">Le projet de fermeture complète de la voie Camillien-Houde à la circulation automobile a finalement été reporté par la Ville de Montréal. Initialement envisagée pour 2027, la fermeture est maintenant repoussée de quelques anneés, notamment en raison de la complexité des travaux et des consultations entourant le réaménagement du secteur. </w:t>
      </w:r>
    </w:p>
    <w:p>
      <w:pPr>
        <w:pStyle w:val="Normal"/>
        <w:bidi w:val="0"/>
        <w:jc w:val="start"/>
        <w:rPr>
          <w:color w:val="FF0000"/>
          <w:sz w:val="32"/>
          <w:szCs w:val="32"/>
        </w:rPr>
      </w:pPr>
      <w:r>
        <w:rPr/>
        <w:t>Nous sommes soulagés de ce report, mais jusqu’à nouvel ordre, il ne s’agit que d’un report. Nous demeurons vigilants.</w:t>
      </w:r>
    </w:p>
    <w:p>
      <w:pPr>
        <w:pStyle w:val="Heading1"/>
        <w:keepNext w:val="false"/>
        <w:keepLines w:val="false"/>
        <w:bidi w:val="0"/>
        <w:spacing w:before="280" w:after="172"/>
        <w:jc w:val="start"/>
        <w:rPr>
          <w:b/>
          <w:bCs/>
        </w:rPr>
      </w:pPr>
      <w:bookmarkStart w:id="94" w:name="__RefHeading___Toc11621_3997879255"/>
      <w:bookmarkStart w:id="95" w:name="_Toc231401497"/>
      <w:bookmarkEnd w:id="94"/>
      <w:r>
        <w:rPr>
          <w:b/>
          <w:bCs/>
        </w:rPr>
        <w:t>Formation continue et renforcement des capacités</w:t>
      </w:r>
      <w:bookmarkEnd w:id="95"/>
    </w:p>
    <w:p>
      <w:pPr>
        <w:pStyle w:val="Normal"/>
        <w:bidi w:val="0"/>
        <w:spacing w:before="240" w:after="240"/>
        <w:jc w:val="start"/>
        <w:rPr/>
      </w:pPr>
      <w:r>
        <w:rPr/>
        <w:t>Le RAPLIQ a poursuivi ses efforts de formation continue tout au long de l’année 2024-2025, afin de consolider ses compétences internes et mieux outiller ses équipes face à l’évolution des enjeux liés aux droits des personnes handicapées.</w:t>
      </w:r>
    </w:p>
    <w:p>
      <w:pPr>
        <w:pStyle w:val="Normal"/>
        <w:bidi w:val="0"/>
        <w:spacing w:before="240" w:after="240"/>
        <w:jc w:val="start"/>
        <w:rPr/>
      </w:pPr>
      <w:r>
        <w:rPr>
          <w:i/>
          <w:iCs/>
        </w:rPr>
        <w:t>Lafortune Formation – Droit</w:t>
      </w:r>
      <w:r>
        <w:rPr/>
        <w:br/>
        <w:t xml:space="preserve"> Participation à une série de formations juridiques offertes par Lafortune Formation, axées sur les droits des personnes handicapées, les recours possibles en matière de discrimination, ainsi que les obligations légales des institutions publiques et privées. Ces formations ont permis d’approfondir les connaissances des membres du RAPLIQ en matière de droit administratif, de droits fondamentaux et de stratégies de défense collective.</w:t>
      </w:r>
    </w:p>
    <w:p>
      <w:pPr>
        <w:pStyle w:val="Normal"/>
        <w:bidi w:val="0"/>
        <w:spacing w:before="240" w:after="240"/>
        <w:jc w:val="start"/>
        <w:rPr>
          <w:sz w:val="32"/>
          <w:szCs w:val="32"/>
        </w:rPr>
      </w:pPr>
      <w:r>
        <w:rPr>
          <w:i/>
          <w:iCs/>
        </w:rPr>
        <w:t>Formation – Productivité et outils technologiques de pointe</w:t>
      </w:r>
      <w:r>
        <w:rPr/>
        <w:br/>
        <w:t xml:space="preserve"> Dans un souci d'efficacité organisationnelle, le RAPLIQ a également suivi des formations ciblées sur les outils technologiques de nouvelle génération : gestion collaborative, automatisation des tâches, optimisation des communications numériques et veille stratégique. L’objectif est de maximiser l’impact de nos interventions tout en assurant une utilisation judicieuse de nos ressources humaines.</w:t>
      </w:r>
    </w:p>
    <w:p>
      <w:pPr>
        <w:pStyle w:val="Normal"/>
        <w:bidi w:val="0"/>
        <w:spacing w:before="240" w:after="240"/>
        <w:jc w:val="start"/>
        <w:rPr>
          <w:sz w:val="32"/>
          <w:szCs w:val="32"/>
        </w:rPr>
      </w:pPr>
      <w:r>
        <w:rPr>
          <w:i/>
          <w:iCs/>
        </w:rPr>
        <w:t>Formation – Intelligence artificielle et automatisation</w:t>
      </w:r>
    </w:p>
    <w:p>
      <w:pPr>
        <w:pStyle w:val="Heading1"/>
        <w:bidi w:val="0"/>
        <w:jc w:val="start"/>
        <w:rPr>
          <w:b/>
          <w:bCs/>
        </w:rPr>
      </w:pPr>
      <w:bookmarkStart w:id="96" w:name="__RefHeading___Toc11623_3997879255"/>
      <w:bookmarkStart w:id="97" w:name="_Toc231401498"/>
      <w:bookmarkStart w:id="98" w:name="_l5d5w634hz7s"/>
      <w:bookmarkEnd w:id="96"/>
      <w:bookmarkEnd w:id="98"/>
      <w:r>
        <w:rPr>
          <w:b/>
          <w:bCs/>
        </w:rPr>
        <w:t>SPGQ (</w:t>
      </w:r>
      <w:r>
        <w:rPr>
          <w:b/>
          <w:bCs/>
          <w:shd w:fill="FFFFFF" w:val="clear"/>
        </w:rPr>
        <w:t>Syndicat de professionnelles et professionnels du gouvernement du Québec)</w:t>
      </w:r>
      <w:bookmarkEnd w:id="97"/>
    </w:p>
    <w:p>
      <w:pPr>
        <w:pStyle w:val="Normal"/>
        <w:bidi w:val="0"/>
        <w:spacing w:before="240" w:after="240"/>
        <w:jc w:val="start"/>
        <w:rPr/>
      </w:pPr>
      <w:r>
        <w:rPr/>
        <w:t>Le RAPLIQ a eu l’honneur de collaborer avec le</w:t>
      </w:r>
      <w:hyperlink r:id="rId11">
        <w:r>
          <w:rPr>
            <w:rStyle w:val="ListLabel316"/>
          </w:rPr>
          <w:t xml:space="preserve"> </w:t>
        </w:r>
      </w:hyperlink>
      <w:hyperlink r:id="rId12">
        <w:r>
          <w:rPr>
            <w:rStyle w:val="ListLabel326"/>
            <w:u w:val="single"/>
          </w:rPr>
          <w:t>SPGQ</w:t>
        </w:r>
      </w:hyperlink>
      <w:r>
        <w:rPr/>
        <w:t xml:space="preserve"> dans le cadre d’activités de sensibilisation portant sur les réalités vécues par les personnes handicapées dans le monde du travail.</w:t>
      </w:r>
    </w:p>
    <w:p>
      <w:pPr>
        <w:pStyle w:val="Normal"/>
        <w:bidi w:val="0"/>
        <w:spacing w:before="240" w:after="240"/>
        <w:jc w:val="start"/>
        <w:rPr/>
      </w:pPr>
      <w:r>
        <w:rPr/>
        <w:t xml:space="preserve">En décembre 2025, Steven Laperrière et Linda Gauthier ont notamment animé un webinaire intitulé </w:t>
      </w:r>
      <w:r>
        <w:rPr>
          <w:i/>
          <w:iCs/>
        </w:rPr>
        <w:t>« Repenser le travail avec et pour les personnes handicapées »</w:t>
      </w:r>
      <w:r>
        <w:rPr/>
        <w:t>. Cette activité visait à mieux faire comprendre :</w:t>
      </w:r>
    </w:p>
    <w:p>
      <w:pPr>
        <w:pStyle w:val="Normal"/>
        <w:numPr>
          <w:ilvl w:val="0"/>
          <w:numId w:val="20"/>
        </w:numPr>
        <w:bidi w:val="0"/>
        <w:spacing w:before="240" w:after="0"/>
        <w:jc w:val="start"/>
        <w:rPr/>
      </w:pPr>
      <w:r>
        <w:rPr/>
        <w:t>le capacitisme dans les milieux professionnels ;</w:t>
      </w:r>
    </w:p>
    <w:p>
      <w:pPr>
        <w:pStyle w:val="Normal"/>
        <w:numPr>
          <w:ilvl w:val="0"/>
          <w:numId w:val="20"/>
        </w:numPr>
        <w:bidi w:val="0"/>
        <w:jc w:val="start"/>
        <w:rPr/>
      </w:pPr>
      <w:r>
        <w:rPr/>
        <w:t>les obstacles à l’emploi ;</w:t>
      </w:r>
    </w:p>
    <w:p>
      <w:pPr>
        <w:pStyle w:val="Normal"/>
        <w:numPr>
          <w:ilvl w:val="0"/>
          <w:numId w:val="20"/>
        </w:numPr>
        <w:bidi w:val="0"/>
        <w:jc w:val="start"/>
        <w:rPr/>
      </w:pPr>
      <w:r>
        <w:rPr/>
        <w:t>la réalité des handicaps invisibles ;</w:t>
      </w:r>
    </w:p>
    <w:p>
      <w:pPr>
        <w:pStyle w:val="Normal"/>
        <w:numPr>
          <w:ilvl w:val="0"/>
          <w:numId w:val="20"/>
        </w:numPr>
        <w:bidi w:val="0"/>
        <w:spacing w:before="0" w:after="240"/>
        <w:jc w:val="start"/>
        <w:rPr/>
      </w:pPr>
      <w:r>
        <w:rPr/>
        <w:t>ainsi que les bonnes pratiques favorisant des milieux de travail réellement inclusifs.</w:t>
      </w:r>
    </w:p>
    <w:p>
      <w:pPr>
        <w:pStyle w:val="Normal"/>
        <w:bidi w:val="0"/>
        <w:spacing w:before="240" w:after="240"/>
        <w:jc w:val="start"/>
        <w:rPr/>
      </w:pPr>
      <w:r>
        <w:rPr/>
        <w:t>Cette collaboration s’inscrit dans la mission du RAPLIQ de promouvoir l’inclusion, l’accessibilité universelle et la lutte contre la discrimination systémique.</w:t>
      </w:r>
    </w:p>
    <w:p>
      <w:pPr>
        <w:pStyle w:val="Heading1"/>
        <w:bidi w:val="0"/>
        <w:jc w:val="start"/>
        <w:rPr>
          <w:b/>
          <w:bCs/>
        </w:rPr>
      </w:pPr>
      <w:bookmarkStart w:id="99" w:name="__RefHeading___Toc11625_3997879255"/>
      <w:bookmarkStart w:id="100" w:name="_Toc231401499"/>
      <w:bookmarkEnd w:id="99"/>
      <w:r>
        <w:rPr>
          <w:b/>
          <w:bCs/>
        </w:rPr>
        <w:t>Collaborations</w:t>
      </w:r>
      <w:bookmarkEnd w:id="100"/>
    </w:p>
    <w:p>
      <w:pPr>
        <w:pStyle w:val="Heading2"/>
        <w:bidi w:val="0"/>
        <w:jc w:val="start"/>
        <w:rPr>
          <w:b/>
          <w:bCs/>
        </w:rPr>
      </w:pPr>
      <w:bookmarkStart w:id="101" w:name="__RefHeading___Toc11627_3997879255"/>
      <w:bookmarkStart w:id="102" w:name="_Toc231401500"/>
      <w:bookmarkStart w:id="103" w:name="_faz19rm0viwa"/>
      <w:bookmarkEnd w:id="101"/>
      <w:bookmarkEnd w:id="103"/>
      <w:r>
        <w:rPr>
          <w:b/>
          <w:bCs/>
        </w:rPr>
        <w:t>Collaboration avec le Réseau pour la Paix et l’Harmonie Sociale</w:t>
      </w:r>
      <w:bookmarkEnd w:id="102"/>
    </w:p>
    <w:p>
      <w:pPr>
        <w:pStyle w:val="Normal"/>
        <w:bidi w:val="0"/>
        <w:spacing w:before="240" w:after="240"/>
        <w:jc w:val="start"/>
        <w:rPr/>
      </w:pPr>
      <w:r>
        <w:rPr/>
        <w:t>Le RAPLIQ poursuit sa collaboration avec le Réseau pour la paix et l’harmonie sociale, un regroupement qui favorise le dialogue, l’inclusion et le vivre-ensemble au sein de la société québécoise.</w:t>
      </w:r>
    </w:p>
    <w:p>
      <w:pPr>
        <w:pStyle w:val="Normal"/>
        <w:bidi w:val="0"/>
        <w:spacing w:before="240" w:after="240"/>
        <w:jc w:val="start"/>
        <w:rPr/>
      </w:pPr>
      <w:r>
        <w:rPr/>
        <w:t xml:space="preserve">Dans le cadre de cette collaboration, notre directeur général, Steven Laperrière, a été invité à prendre la parole lors de l’événement </w:t>
      </w:r>
      <w:r>
        <w:rPr>
          <w:b/>
          <w:bCs/>
        </w:rPr>
        <w:t>« Bâtir l’avenir : engagement social, résilience et bien-être »</w:t>
      </w:r>
      <w:r>
        <w:rPr/>
        <w:t xml:space="preserve">, tenu le 23 février 2026 au MEM – Centre des mémoires montréalaises à Montréal. Cette activité était organisée par le Réseau pour la paix et l’harmonie sociale dans le cadre de la première édition de la programmation </w:t>
      </w:r>
      <w:r>
        <w:rPr>
          <w:b/>
          <w:bCs/>
        </w:rPr>
        <w:t>Journées de la paix 365</w:t>
      </w:r>
      <w:r>
        <w:rPr/>
        <w:t>.</w:t>
      </w:r>
    </w:p>
    <w:p>
      <w:pPr>
        <w:pStyle w:val="Normal"/>
        <w:bidi w:val="0"/>
        <w:spacing w:before="240" w:after="240"/>
        <w:jc w:val="start"/>
        <w:rPr/>
      </w:pPr>
      <w:r>
        <w:rPr/>
        <w:t>À cette occasion, Steven Laperrière a prononcé une allocution portant sur l’importance de l’engagement social, de la résilience collective et de la pleine participation des personnes handicapées à la vie citoyenne. Son intervention a permis de rappeler que l’inclusion ne peut être atteinte sans une reconnaissance concrète des réalités vécues par les personnes handicapées et sans leur présence active dans les espaces de décision et de concertation.</w:t>
      </w:r>
    </w:p>
    <w:p>
      <w:pPr>
        <w:pStyle w:val="Normal"/>
        <w:bidi w:val="0"/>
        <w:spacing w:before="240" w:after="240"/>
        <w:jc w:val="start"/>
        <w:rPr/>
      </w:pPr>
      <w:r>
        <w:rPr/>
        <w:t>Cette participation a également permis au RAPLIQ de sensibiliser les différents acteurs présents aux enjeux liés aux droits, à l’accessibilité universelle et à la lutte contre la discrimination, tout en renforçant les liens avec plusieurs partenaires issus de divers secteurs de la société civile.</w:t>
      </w:r>
    </w:p>
    <w:p>
      <w:pPr>
        <w:pStyle w:val="Normal"/>
        <w:bidi w:val="0"/>
        <w:spacing w:before="240" w:after="240"/>
        <w:jc w:val="start"/>
        <w:rPr>
          <w:color w:val="FF0000"/>
        </w:rPr>
      </w:pPr>
      <w:r>
        <w:rPr>
          <w:color w:val="FF0000"/>
        </w:rPr>
      </w:r>
    </w:p>
    <w:p>
      <w:pPr>
        <w:pStyle w:val="Normal"/>
        <w:bidi w:val="0"/>
        <w:spacing w:before="240" w:after="240"/>
        <w:jc w:val="start"/>
        <w:rPr>
          <w:strike/>
          <w:color w:val="FF0000"/>
          <w:u w:val="single"/>
        </w:rPr>
      </w:pPr>
      <w:r>
        <w:rPr/>
        <w:drawing>
          <wp:inline distT="0" distB="0" distL="0" distR="0">
            <wp:extent cx="2600325" cy="1942465"/>
            <wp:effectExtent l="0" t="0" r="0" b="0"/>
            <wp:docPr id="6" name="image3.jpg"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g" descr="" title=""/>
                    <pic:cNvPicPr>
                      <a:picLocks noChangeAspect="1" noChangeArrowheads="1"/>
                    </pic:cNvPicPr>
                  </pic:nvPicPr>
                  <pic:blipFill>
                    <a:blip r:embed="rId13"/>
                    <a:stretch>
                      <a:fillRect/>
                    </a:stretch>
                  </pic:blipFill>
                  <pic:spPr bwMode="auto">
                    <a:xfrm>
                      <a:off x="0" y="0"/>
                      <a:ext cx="2600325" cy="1942465"/>
                    </a:xfrm>
                    <a:prstGeom prst="rect">
                      <a:avLst/>
                    </a:prstGeom>
                  </pic:spPr>
                </pic:pic>
              </a:graphicData>
            </a:graphic>
          </wp:inline>
        </w:drawing>
      </w:r>
    </w:p>
    <w:p>
      <w:pPr>
        <w:pStyle w:val="Normal"/>
        <w:bidi w:val="0"/>
        <w:spacing w:before="240" w:after="240"/>
        <w:jc w:val="start"/>
        <w:rPr>
          <w:strike/>
          <w:color w:val="FF0000"/>
          <w:u w:val="single"/>
        </w:rPr>
      </w:pPr>
      <w:r>
        <w:rPr>
          <w:strike/>
          <w:color w:val="FF0000"/>
          <w:u w:val="single"/>
        </w:rPr>
      </w:r>
    </w:p>
    <w:p>
      <w:pPr>
        <w:pStyle w:val="Normal"/>
        <w:bidi w:val="0"/>
        <w:jc w:val="start"/>
        <w:rPr/>
      </w:pPr>
      <w:r>
        <w:rPr/>
        <w:t xml:space="preserve">Vous trouverez le texte de la conférence de Steven et des autres conférenciers-ères dans le document ci-bas ainsi que d’autres éléments importants et pertinents: </w:t>
      </w:r>
    </w:p>
    <w:p>
      <w:pPr>
        <w:pStyle w:val="Normal"/>
        <w:bidi w:val="0"/>
        <w:jc w:val="start"/>
        <w:rPr/>
      </w:pPr>
      <w:r>
        <w:rPr/>
      </w:r>
    </w:p>
    <w:p>
      <w:pPr>
        <w:pStyle w:val="Normal"/>
        <w:bidi w:val="0"/>
        <w:jc w:val="start"/>
        <w:rPr>
          <w:strike/>
        </w:rPr>
      </w:pPr>
      <w:r>
        <w:rPr/>
        <w:t>https://thepeacenetwork.ca/2020/sitepad-data/uploads/2026/04/Rapport-du-23-f%C3%A9vrier-2026-FR.pdf</w:t>
      </w:r>
    </w:p>
    <w:p>
      <w:pPr>
        <w:pStyle w:val="Heading2"/>
        <w:bidi w:val="0"/>
        <w:jc w:val="start"/>
        <w:rPr>
          <w:b/>
          <w:bCs/>
        </w:rPr>
      </w:pPr>
      <w:bookmarkStart w:id="104" w:name="__RefHeading___Toc11629_3997879255"/>
      <w:bookmarkStart w:id="105" w:name="_Toc231401501"/>
      <w:bookmarkStart w:id="106" w:name="_q7o4uhvmat0c"/>
      <w:bookmarkEnd w:id="104"/>
      <w:bookmarkEnd w:id="106"/>
      <w:r>
        <w:rPr>
          <w:b/>
          <w:bCs/>
        </w:rPr>
        <w:t>Conférence mondiale sur les droits des personnes handicapées</w:t>
      </w:r>
      <w:bookmarkEnd w:id="105"/>
    </w:p>
    <w:p>
      <w:pPr>
        <w:pStyle w:val="Normal"/>
        <w:bidi w:val="0"/>
        <w:spacing w:lineRule="auto" w:line="252" w:before="240" w:after="240"/>
        <w:jc w:val="start"/>
        <w:rPr/>
      </w:pPr>
      <w:r>
        <w:rPr/>
        <w:t>Le RAPLIQ a poursuivi son rayonnement international en participant à la Global Disability Rights Conference 2025, un événement réunissant des défenseurs des droits, des organismes et des experts provenant de plusieurs pays afin de discuter des enjeux liés aux droits des personnes handicapées, à la lutte contre le capacitisme et à l'inclusion sociale.</w:t>
      </w:r>
    </w:p>
    <w:p>
      <w:pPr>
        <w:pStyle w:val="Normal"/>
        <w:bidi w:val="0"/>
        <w:spacing w:lineRule="auto" w:line="252" w:before="240" w:after="240"/>
        <w:jc w:val="start"/>
        <w:rPr/>
      </w:pPr>
      <w:r>
        <w:rPr/>
        <w:t>À cette occasion, Linda Gauthier, présidente du RAPLIQ, et Steven Laperrière, directeur général, ont tous deux été invités à prendre la parole afin de présenter la réalité vécue par les personnes handicapées au Québec et au Canada. Leurs interventions ont permis de mettre en lumière les nombreuses formes de discrimination encore présentes dans notre société, notamment en matière de transport, de logement, d'accès aux soins de santé, d'emploi et de participation citoyenne.</w:t>
      </w:r>
    </w:p>
    <w:p>
      <w:pPr>
        <w:pStyle w:val="Normal"/>
        <w:bidi w:val="0"/>
        <w:spacing w:lineRule="auto" w:line="252" w:before="240" w:after="240"/>
        <w:jc w:val="start"/>
        <w:rPr/>
      </w:pPr>
      <w:r>
        <w:rPr/>
        <w:t>Steven Laperrière a notamment dressé un portrait des obstacles systémiques auxquels les personnes handicapées continuent de faire face malgré les protections juridiques existantes, en s'appuyant sur l'expérience terrain du RAPLIQ et sur les nombreux dossiers traités par l'organisme.</w:t>
      </w:r>
    </w:p>
    <w:p>
      <w:pPr>
        <w:pStyle w:val="Normal"/>
        <w:bidi w:val="0"/>
        <w:spacing w:lineRule="auto" w:line="252" w:before="240" w:after="240"/>
        <w:jc w:val="start"/>
        <w:rPr/>
      </w:pPr>
      <w:r>
        <w:rPr/>
        <w:t>Pour sa part, Linda Gauthier a rappelé l'importance de reconnaître les droits des personnes handicapées comme des droits fondamentaux et de poursuivre les efforts de sensibilisation, de représentation politique et de défense collective afin de combattre les préjugés et les inégalités.</w:t>
      </w:r>
    </w:p>
    <w:p>
      <w:pPr>
        <w:pStyle w:val="Normal"/>
        <w:bidi w:val="0"/>
        <w:spacing w:lineRule="auto" w:line="252" w:before="240" w:after="240"/>
        <w:jc w:val="start"/>
        <w:rPr/>
      </w:pPr>
      <w:r>
        <w:rPr/>
        <w:t>Cette conférence a permis au RAPLIQ de partager son expertise avec des représentants de plusieurs pays, de renforcer ses liens avec des partenaires internationaux et de contribuer à une réflexion mondiale sur la construction de sociétés plus inclusives. Elle a également confirmé que les enjeux vécus par les personnes handicapées au Québec s'inscrivent dans un mouvement international de revendication pour l'égalité, la dignité et la pleine participation sociale.</w:t>
      </w:r>
    </w:p>
    <w:p>
      <w:pPr>
        <w:pStyle w:val="Heading1"/>
        <w:bidi w:val="0"/>
        <w:jc w:val="start"/>
        <w:rPr>
          <w:b/>
          <w:bCs/>
        </w:rPr>
      </w:pPr>
      <w:bookmarkStart w:id="107" w:name="__RefHeading___Toc11631_3997879255"/>
      <w:bookmarkStart w:id="108" w:name="_Toc231401502"/>
      <w:bookmarkEnd w:id="107"/>
      <w:r>
        <w:rPr>
          <w:b/>
          <w:bCs/>
        </w:rPr>
        <w:t>Représentation institutionnelle et comités externes</w:t>
      </w:r>
      <w:bookmarkEnd w:id="108"/>
    </w:p>
    <w:p>
      <w:pPr>
        <w:pStyle w:val="Normal"/>
        <w:bidi w:val="0"/>
        <w:spacing w:lineRule="auto" w:line="240" w:before="240" w:after="240"/>
        <w:jc w:val="both"/>
        <w:rPr/>
      </w:pPr>
      <w:r>
        <w:rPr/>
        <w:t>Tout au long de l’année 2025-2026, le RAPLIQ a été fortement impliqué dans plusieurs tables de concertation et comités consultatifs, afin de faire entendre la voix des personnes handicapées directement au sein des instances décisionnelles.</w:t>
      </w:r>
    </w:p>
    <w:p>
      <w:pPr>
        <w:pStyle w:val="Normal"/>
        <w:bidi w:val="0"/>
        <w:spacing w:lineRule="auto" w:line="240" w:before="240" w:after="240"/>
        <w:jc w:val="both"/>
        <w:rPr/>
      </w:pPr>
      <w:r>
        <w:rPr/>
        <w:t>Linda Gauthier, cofondatrice du RAPLIQ, a représenté notre organisme sur trois comités majeurs :</w:t>
      </w:r>
    </w:p>
    <w:p>
      <w:pPr>
        <w:pStyle w:val="Normal"/>
        <w:numPr>
          <w:ilvl w:val="0"/>
          <w:numId w:val="21"/>
        </w:numPr>
        <w:bidi w:val="0"/>
        <w:spacing w:lineRule="auto" w:line="240" w:before="240" w:after="0"/>
        <w:jc w:val="start"/>
        <w:rPr/>
      </w:pPr>
      <w:r>
        <w:rPr/>
        <w:t>La table de concertation OPHQ dans le cadre du programme PEA (Petits établissements accessibles), pour promouvoir une accessibilité commerciale réelle et durable dans les commerces de proximité de moins de 300 mètres carrés.</w:t>
      </w:r>
      <w:r>
        <w:rPr>
          <w:shd w:fill="B7B7B7" w:val="clear"/>
        </w:rPr>
        <w:br/>
      </w:r>
      <w:r>
        <w:rPr/>
        <w:br/>
      </w:r>
    </w:p>
    <w:p>
      <w:pPr>
        <w:pStyle w:val="Normal"/>
        <w:numPr>
          <w:ilvl w:val="0"/>
          <w:numId w:val="21"/>
        </w:numPr>
        <w:bidi w:val="0"/>
        <w:spacing w:lineRule="auto" w:line="240" w:before="0" w:after="240"/>
        <w:jc w:val="start"/>
        <w:rPr/>
      </w:pPr>
      <w:r>
        <w:rPr/>
        <w:t>Le comité de consultation de la Régie du bâtiment du Québec (OPHQ / RBQ), où elle a soulevé des enjeux concrets liés à l’application et à l’interprétation des normes de construction et d’aménagement en matière d’accessibilité universelle et de sécurité..</w:t>
      </w:r>
    </w:p>
    <w:p>
      <w:pPr>
        <w:pStyle w:val="Normal"/>
        <w:bidi w:val="0"/>
        <w:jc w:val="start"/>
        <w:rPr/>
      </w:pPr>
      <w:r>
        <w:rPr/>
      </w:r>
    </w:p>
    <w:p>
      <w:pPr>
        <w:pStyle w:val="Normal"/>
        <w:numPr>
          <w:ilvl w:val="0"/>
          <w:numId w:val="22"/>
        </w:numPr>
        <w:bidi w:val="0"/>
        <w:jc w:val="start"/>
        <w:rPr/>
      </w:pPr>
      <w:r>
        <w:rPr/>
        <w:t>Le Dr Christophe Bedos, professeur agrégé à la Faculté de médecine dentaire de l'Université McGill et directeur du Réseau de recherche en santé buccodentaire et osseuse du Québec (RISBOd) ainsi que Vice-Président du RAPLIQ. Le Dr Bedos a invité le RAPLIQ à siéger au comité directeur du RISBOd en tant que partenaire communautaire. Linda Gauthier, Cofondatrice et conseillère principale  du RAPLIQ, représente l'organisme au sein du comité directeur du RISBOd.</w:t>
      </w:r>
    </w:p>
    <w:p>
      <w:pPr>
        <w:pStyle w:val="Normal"/>
        <w:bidi w:val="0"/>
        <w:ind w:start="720"/>
        <w:jc w:val="start"/>
        <w:rPr/>
      </w:pPr>
      <w:r>
        <w:rPr/>
      </w:r>
    </w:p>
    <w:p>
      <w:pPr>
        <w:pStyle w:val="Normal"/>
        <w:numPr>
          <w:ilvl w:val="0"/>
          <w:numId w:val="22"/>
        </w:numPr>
        <w:bidi w:val="0"/>
        <w:jc w:val="start"/>
        <w:rPr/>
      </w:pPr>
      <w:r>
        <w:rPr/>
        <w:t>Le comité consultatif de l’Office des transports du Canada.</w:t>
      </w:r>
    </w:p>
    <w:p>
      <w:pPr>
        <w:pStyle w:val="Normal"/>
        <w:bidi w:val="0"/>
        <w:jc w:val="start"/>
        <w:rPr>
          <w:color w:val="FF0000"/>
        </w:rPr>
      </w:pPr>
      <w:r>
        <w:rPr>
          <w:color w:val="FF0000"/>
        </w:rPr>
      </w:r>
    </w:p>
    <w:p>
      <w:pPr>
        <w:pStyle w:val="Normal"/>
        <w:bidi w:val="0"/>
        <w:spacing w:lineRule="auto" w:line="240" w:before="240" w:after="240"/>
        <w:jc w:val="both"/>
        <w:rPr/>
      </w:pPr>
      <w:r>
        <w:rPr/>
        <w:t>Steven Laperrière, directeur général du RAPLIQ, a représenté notre organisme sur trois comités majeurs :</w:t>
      </w:r>
    </w:p>
    <w:p>
      <w:pPr>
        <w:pStyle w:val="Normal"/>
        <w:numPr>
          <w:ilvl w:val="0"/>
          <w:numId w:val="23"/>
        </w:numPr>
        <w:bidi w:val="0"/>
        <w:spacing w:lineRule="auto" w:line="240" w:before="240" w:after="0"/>
        <w:jc w:val="start"/>
        <w:rPr/>
      </w:pPr>
      <w:r>
        <w:rPr/>
        <w:t>Le Comité consultatif des services aux élèves handicapés ou en difficulté d’adaptation ou d’apprentissage (CCSEDHAA), afin de contribuer à une éducation réellement inclusive et équitable.</w:t>
        <w:br/>
      </w:r>
    </w:p>
    <w:p>
      <w:pPr>
        <w:pStyle w:val="Normal"/>
        <w:numPr>
          <w:ilvl w:val="0"/>
          <w:numId w:val="23"/>
        </w:numPr>
        <w:bidi w:val="0"/>
        <w:spacing w:lineRule="auto" w:line="240" w:before="0" w:after="200"/>
        <w:jc w:val="start"/>
        <w:rPr/>
      </w:pPr>
      <w:r>
        <w:rPr/>
        <w:t>Le Sous-comité partenaire du milieu associatif (SCPMA) du Réseau de transport de la Capitale (RTC), pour y défendre les intérêts des usager·ères à mobilité réduite dans l’élaboration de politiques et d’aménagements accessibles.</w:t>
      </w:r>
    </w:p>
    <w:p>
      <w:pPr>
        <w:pStyle w:val="Normal"/>
        <w:numPr>
          <w:ilvl w:val="0"/>
          <w:numId w:val="23"/>
        </w:numPr>
        <w:bidi w:val="0"/>
        <w:spacing w:lineRule="auto" w:line="240" w:before="240" w:after="240"/>
        <w:jc w:val="both"/>
        <w:rPr/>
      </w:pPr>
      <w:r>
        <w:rPr/>
        <w:t>Le RAPLIQ siège au sein de la Coalition Santé en péril. Cette coalition rassemble des organisations communautaires engagées dans la défense d’un système de santé public, accessible, universel et équitable.</w:t>
      </w:r>
    </w:p>
    <w:p>
      <w:pPr>
        <w:pStyle w:val="Normal"/>
        <w:bidi w:val="0"/>
        <w:spacing w:lineRule="auto" w:line="240" w:before="240" w:after="240"/>
        <w:jc w:val="both"/>
        <w:rPr/>
      </w:pPr>
      <w:r>
        <w:rPr/>
        <w:t>Notre participation s’inscrit dans une volonté ferme de porter la voix des personnes handicapées au cœur des luttes sociales plus larges, et de s’assurer que leurs réalités spécifiques soient pleinement prises en compte dans les revendications collectives.</w:t>
      </w:r>
    </w:p>
    <w:p>
      <w:pPr>
        <w:pStyle w:val="Normal"/>
        <w:bidi w:val="0"/>
        <w:spacing w:lineRule="auto" w:line="240" w:before="240" w:after="240"/>
        <w:jc w:val="both"/>
        <w:rPr>
          <w:color w:val="FF0000"/>
          <w:u w:val="single"/>
        </w:rPr>
      </w:pPr>
      <w:r>
        <w:rPr/>
        <w:t>En prenant part aux actions de mobilisation, aux consultations politiques, aux prises de position publiques et aux travaux de veille, le RAPLIQ contribue à bâtir des alliances porteuses et à renforcer l’impact de son action en faveur d’un Québec véritablement inclusif.</w:t>
      </w:r>
    </w:p>
    <w:p>
      <w:pPr>
        <w:pStyle w:val="Normal"/>
        <w:bidi w:val="0"/>
        <w:spacing w:lineRule="auto" w:line="240" w:before="240" w:after="240"/>
        <w:jc w:val="both"/>
        <w:rPr/>
      </w:pPr>
      <w:r>
        <w:rPr/>
        <w:t>Par ailleurs, Linda Gauthier et Steven Laperrière alternent leur présence au sein de la table de concertation de la Commission des droits de la personne et des droits de la jeunesse (CDPDJ), où le RAPLIQ contribue activement à l’analyse des enjeux systémiques de discrimination, à la formulation de recommandations et à l’évaluation des politiques publiques sous l’angle des droits des personnes handicapées.</w:t>
      </w:r>
    </w:p>
    <w:p>
      <w:pPr>
        <w:pStyle w:val="Normal"/>
        <w:bidi w:val="0"/>
        <w:spacing w:lineRule="auto" w:line="240" w:before="240" w:after="240"/>
        <w:jc w:val="both"/>
        <w:rPr/>
      </w:pPr>
      <w:r>
        <w:rPr/>
        <w:t>Par sa présence continue à ces diverses instances, le RAPLIQ poursuit sa mission de représentation structurante et stratégique, afin d’influencer les politiques, les pratiques et les normes dans une perspective de justice sociale et d’égalité réelle.</w:t>
      </w:r>
    </w:p>
    <w:p>
      <w:pPr>
        <w:pStyle w:val="Heading1"/>
        <w:bidi w:val="0"/>
        <w:spacing w:lineRule="auto" w:line="252" w:before="280" w:after="172"/>
        <w:jc w:val="start"/>
        <w:rPr>
          <w:b/>
          <w:bCs/>
        </w:rPr>
      </w:pPr>
      <w:bookmarkStart w:id="109" w:name="__RefHeading___Toc11633_3997879255"/>
      <w:bookmarkStart w:id="110" w:name="_Toc231401503"/>
      <w:bookmarkEnd w:id="109"/>
      <w:r>
        <w:rPr>
          <w:b/>
          <w:bCs/>
        </w:rPr>
        <w:t>Prises de parole – Campagne de financement annuelle de Centraide</w:t>
      </w:r>
      <w:bookmarkEnd w:id="110"/>
    </w:p>
    <w:p>
      <w:pPr>
        <w:pStyle w:val="Normal"/>
        <w:bidi w:val="0"/>
        <w:spacing w:lineRule="auto" w:line="240" w:before="240" w:after="240"/>
        <w:jc w:val="start"/>
        <w:rPr/>
      </w:pPr>
      <w:r>
        <w:rPr/>
        <w:t>Comme chaque année, le RAPLIQ a répondu présent à l’appel de Centraide du Grand Montréal dans le cadre de sa campagne de financement annuelle. Nous avons eu l’honneur de prendre la parole à deux reprises devant des institutions et partenaires engagés, pour souligner l’importance de leur contribution.</w:t>
      </w:r>
    </w:p>
    <w:p>
      <w:pPr>
        <w:pStyle w:val="Normal"/>
        <w:bidi w:val="0"/>
        <w:spacing w:lineRule="auto" w:line="240" w:before="240" w:after="240"/>
        <w:jc w:val="start"/>
        <w:rPr/>
      </w:pPr>
      <w:r>
        <w:rPr/>
        <w:t>Steven Laperrière, directeur général du RAPLIQ, a représenté l’organisme dans des allocutions lors des événements organisés par la Caisse de dépôt et Énergie Valéro.</w:t>
      </w:r>
    </w:p>
    <w:p>
      <w:pPr>
        <w:pStyle w:val="Normal"/>
        <w:bidi w:val="0"/>
        <w:spacing w:lineRule="auto" w:line="240" w:before="240" w:after="240"/>
        <w:jc w:val="start"/>
        <w:rPr/>
      </w:pPr>
      <w:r>
        <w:rPr/>
        <w:t>« Centraide n’est pas simplement un bailleur de fonds pour nous — c’est un partenaire, un catalyseur de liens et un amplificateur d’impact. Grâce à son appui, nous pouvons aller plus loin et rejoindre des personnes trop souvent laissées pour compte. » - Steven Laperrière</w:t>
      </w:r>
    </w:p>
    <w:p>
      <w:pPr>
        <w:pStyle w:val="Normal"/>
        <w:bidi w:val="0"/>
        <w:spacing w:lineRule="auto" w:line="240" w:before="240" w:after="240"/>
        <w:jc w:val="start"/>
        <w:rPr/>
      </w:pPr>
      <w:r>
        <w:rPr/>
        <w:t>Ces interventions ont permis de mettre un visage humain sur les retombées concrètes des dons, de rappeler la persistance des inégalités vécues par les personnes handicapées, et de remercier chaleureusement ceux et celles qui choisissent de faire une différence.</w:t>
      </w:r>
    </w:p>
    <w:p>
      <w:pPr>
        <w:pStyle w:val="Normal"/>
        <w:bidi w:val="0"/>
        <w:spacing w:lineRule="auto" w:line="240" w:before="240" w:after="240"/>
        <w:jc w:val="start"/>
        <w:rPr/>
      </w:pPr>
      <w:r>
        <w:rPr/>
        <w:t>Nous continuerons à soutenir activement ces campagnes de mobilisation qui renforcent notre tissu social et rendent notre travail possible, jour après jour.</w:t>
      </w:r>
    </w:p>
    <w:p>
      <w:pPr>
        <w:pStyle w:val="Heading1"/>
        <w:bidi w:val="0"/>
        <w:spacing w:lineRule="auto" w:line="252" w:before="400" w:after="80"/>
        <w:jc w:val="start"/>
        <w:rPr>
          <w:b/>
          <w:bCs/>
        </w:rPr>
      </w:pPr>
      <w:bookmarkStart w:id="111" w:name="__RefHeading___Toc11635_3997879255"/>
      <w:bookmarkStart w:id="112" w:name="_Toc231401504"/>
      <w:bookmarkStart w:id="113" w:name="_lq3qxerg50gw"/>
      <w:bookmarkEnd w:id="111"/>
      <w:bookmarkEnd w:id="113"/>
      <w:r>
        <w:rPr>
          <w:b/>
          <w:bCs/>
        </w:rPr>
        <w:t>L’impact du RAPLIQ</w:t>
      </w:r>
      <w:bookmarkEnd w:id="112"/>
    </w:p>
    <w:p>
      <w:pPr>
        <w:pStyle w:val="Normal"/>
        <w:bidi w:val="0"/>
        <w:jc w:val="start"/>
        <w:rPr/>
      </w:pPr>
      <w:r>
        <w:rPr/>
        <w:t>Au-delà des dossiers, des mémoires, des représentations politiques, des interventions médiatiques et des recours juridiques, l’impact du RAPLIQ se mesure avant tout par sa capacité à faire entendre la voix des personnes handicapées là où elle était trop souvent absente.</w:t>
      </w:r>
    </w:p>
    <w:p>
      <w:pPr>
        <w:pStyle w:val="Normal"/>
        <w:bidi w:val="0"/>
        <w:jc w:val="start"/>
        <w:rPr/>
      </w:pPr>
      <w:r>
        <w:rPr/>
      </w:r>
    </w:p>
    <w:p>
      <w:pPr>
        <w:pStyle w:val="Normal"/>
        <w:bidi w:val="0"/>
        <w:jc w:val="start"/>
        <w:rPr/>
      </w:pPr>
      <w:r>
        <w:rPr/>
        <w:t>Au cours de la dernière année, le RAPLIQ a contribué à faire avancer plusieurs débats de société touchant notamment l’accessibilité universelle, le transport adapté, le soutien à domicile, la lutte contre la discrimination, la santé, le logement et la participation citoyenne. Par son travail de représentation auprès des décideurs, des institutions publiques, des municipalités et des médias, l’organisme a permis que les réalités vécues par les personnes handicapées soient davantage prises en considération dans les processus décisionnels.</w:t>
      </w:r>
    </w:p>
    <w:p>
      <w:pPr>
        <w:pStyle w:val="Normal"/>
        <w:bidi w:val="0"/>
        <w:jc w:val="start"/>
        <w:rPr/>
      </w:pPr>
      <w:r>
        <w:rPr/>
      </w:r>
    </w:p>
    <w:p>
      <w:pPr>
        <w:pStyle w:val="Normal"/>
        <w:bidi w:val="0"/>
        <w:jc w:val="start"/>
        <w:rPr/>
      </w:pPr>
      <w:r>
        <w:rPr/>
        <w:t>Le RAPLIQ a également poursuivi sa mission première d’accompagnement et de défense des droits en soutenant des centaines de personnes confrontées à des situations de discrimination, d’exclusion ou de non-respect de leurs droits. Chaque intervention, qu’elle soit individuelle ou collective, contribue à bâtir une société plus juste et plus inclusive.</w:t>
      </w:r>
    </w:p>
    <w:p>
      <w:pPr>
        <w:pStyle w:val="Normal"/>
        <w:bidi w:val="0"/>
        <w:jc w:val="start"/>
        <w:rPr/>
      </w:pPr>
      <w:r>
        <w:rPr/>
      </w:r>
    </w:p>
    <w:p>
      <w:pPr>
        <w:pStyle w:val="Normal"/>
        <w:bidi w:val="0"/>
        <w:jc w:val="start"/>
        <w:rPr/>
      </w:pPr>
      <w:r>
        <w:rPr/>
        <w:t>L’organisation a su développer des alliances stratégiques avec de nombreux partenaires issus du milieu communautaire, institutionnel et politique, permettant aux enjeux des personnes handicapées de demeurer présents dans l’espace public et de faire progresser des revendications souvent négligées.</w:t>
      </w:r>
    </w:p>
    <w:p>
      <w:pPr>
        <w:pStyle w:val="Normal"/>
        <w:bidi w:val="0"/>
        <w:jc w:val="start"/>
        <w:rPr/>
      </w:pPr>
      <w:r>
        <w:rPr/>
      </w:r>
    </w:p>
    <w:p>
      <w:pPr>
        <w:pStyle w:val="Normal"/>
        <w:bidi w:val="0"/>
        <w:jc w:val="start"/>
        <w:rPr/>
      </w:pPr>
      <w:r>
        <w:rPr/>
        <w:t>Enfin, l’impact du RAPLIQ réside dans sa capacité à transformer des préoccupations individuelles en enjeux collectifs, à dénoncer les injustices lorsqu’elles surviennent et à proposer des solutions concrètes. Cette année encore, le RAPLIQ a démontré qu’une organisation dirigée par des personnes engagées peut influencer les politiques publiques, sensibiliser la population et contribuer à faire évoluer les mentalités.</w:t>
      </w:r>
    </w:p>
    <w:p>
      <w:pPr>
        <w:pStyle w:val="Normal"/>
        <w:bidi w:val="0"/>
        <w:jc w:val="start"/>
        <w:rPr/>
      </w:pPr>
      <w:r>
        <w:rPr/>
      </w:r>
    </w:p>
    <w:p>
      <w:pPr>
        <w:pStyle w:val="Normal"/>
        <w:bidi w:val="0"/>
        <w:jc w:val="start"/>
        <w:rPr/>
      </w:pPr>
      <w:r>
        <w:rPr/>
        <w:t>Car chaque droit reconnu, chaque obstacle éliminé, chaque service amélioré et chaque personne accompagnée représentent une victoire qui profite non seulement aux personnes handicapées, mais à l’ensemble de la société québécoise.</w:t>
      </w:r>
    </w:p>
    <w:p>
      <w:pPr>
        <w:pStyle w:val="Heading1"/>
        <w:bidi w:val="0"/>
        <w:jc w:val="start"/>
        <w:rPr>
          <w:b/>
          <w:bCs/>
        </w:rPr>
      </w:pPr>
      <w:bookmarkStart w:id="114" w:name="__RefHeading___Toc11637_3997879255"/>
      <w:bookmarkStart w:id="115" w:name="_Toc231401505"/>
      <w:bookmarkEnd w:id="114"/>
      <w:r>
        <w:rPr>
          <w:b/>
          <w:bCs/>
        </w:rPr>
        <w:t>RAPLIQ et les médias:</w:t>
      </w:r>
      <w:bookmarkEnd w:id="115"/>
    </w:p>
    <w:p>
      <w:pPr>
        <w:pStyle w:val="Normal"/>
        <w:bidi w:val="0"/>
        <w:jc w:val="start"/>
        <w:rPr/>
      </w:pPr>
      <w:r>
        <w:rPr/>
      </w:r>
    </w:p>
    <w:p>
      <w:pPr>
        <w:pStyle w:val="Normal"/>
        <w:bidi w:val="0"/>
        <w:jc w:val="start"/>
        <w:rPr/>
      </w:pPr>
      <w:r>
        <w:rPr/>
        <w:t>Pour consulter toutes interventions médiatique, veuillez consulter notre lien Linktree ci-bas:</w:t>
      </w:r>
    </w:p>
    <w:p>
      <w:pPr>
        <w:pStyle w:val="Normal"/>
        <w:bidi w:val="0"/>
        <w:jc w:val="start"/>
        <w:rPr/>
      </w:pPr>
      <w:r>
        <w:rPr/>
      </w:r>
    </w:p>
    <w:p>
      <w:pPr>
        <w:pStyle w:val="Normal"/>
        <w:bidi w:val="0"/>
        <w:jc w:val="start"/>
        <w:rPr>
          <w:u w:val="single"/>
        </w:rPr>
      </w:pPr>
      <w:r>
        <w:rPr>
          <w:u w:val="single"/>
        </w:rPr>
        <w:t>https://linktr.ee/RAPLIQ</w:t>
      </w:r>
    </w:p>
    <w:p>
      <w:pPr>
        <w:pStyle w:val="Heading1"/>
        <w:bidi w:val="0"/>
        <w:jc w:val="start"/>
        <w:rPr>
          <w:b/>
          <w:bCs/>
        </w:rPr>
      </w:pPr>
      <w:bookmarkStart w:id="116" w:name="__RefHeading___Toc11639_3997879255"/>
      <w:bookmarkStart w:id="117" w:name="_Toc231401506"/>
      <w:bookmarkEnd w:id="116"/>
      <w:r>
        <w:rPr>
          <w:b/>
          <w:bCs/>
        </w:rPr>
        <w:t>Planification d’action : vers un RAPLIQ plus fort, plus influent</w:t>
      </w:r>
      <w:bookmarkEnd w:id="117"/>
    </w:p>
    <w:p>
      <w:pPr>
        <w:pStyle w:val="Heading2"/>
        <w:bidi w:val="0"/>
        <w:jc w:val="start"/>
        <w:rPr>
          <w:b/>
          <w:bCs/>
        </w:rPr>
      </w:pPr>
      <w:bookmarkStart w:id="118" w:name="__RefHeading___Toc11641_3997879255"/>
      <w:bookmarkStart w:id="119" w:name="_Toc231401507"/>
      <w:bookmarkStart w:id="120" w:name="_p01k3q9ac401"/>
      <w:bookmarkEnd w:id="118"/>
      <w:bookmarkEnd w:id="120"/>
      <w:r>
        <w:rPr>
          <w:b/>
          <w:bCs/>
        </w:rPr>
        <w:t>Plan d'action 2026-2027</w:t>
      </w:r>
      <w:bookmarkEnd w:id="119"/>
    </w:p>
    <w:p>
      <w:pPr>
        <w:pStyle w:val="Heading3"/>
        <w:bidi w:val="0"/>
        <w:jc w:val="start"/>
        <w:rPr/>
      </w:pPr>
      <w:bookmarkStart w:id="121" w:name="__RefHeading___Toc11643_3997879255"/>
      <w:bookmarkStart w:id="122" w:name="_Toc231401508"/>
      <w:bookmarkStart w:id="123" w:name="_t0xuj234qp70"/>
      <w:bookmarkEnd w:id="121"/>
      <w:bookmarkEnd w:id="123"/>
      <w:r>
        <w:rPr/>
        <w:t>Orientation 1 – Défendre les droits des personnes handicapées</w:t>
      </w:r>
      <w:bookmarkEnd w:id="122"/>
    </w:p>
    <w:p>
      <w:pPr>
        <w:pStyle w:val="Normal"/>
        <w:bidi w:val="0"/>
        <w:jc w:val="start"/>
        <w:rPr>
          <w:b/>
          <w:bCs/>
        </w:rPr>
      </w:pPr>
      <w:bookmarkStart w:id="124" w:name="_j64ex2lkg35g"/>
      <w:bookmarkEnd w:id="124"/>
      <w:r>
        <w:rPr>
          <w:b/>
          <w:bCs/>
        </w:rPr>
        <w:t>Objectif</w:t>
      </w:r>
    </w:p>
    <w:p>
      <w:pPr>
        <w:pStyle w:val="Normal"/>
        <w:bidi w:val="0"/>
        <w:spacing w:lineRule="auto" w:line="240" w:before="240" w:after="240"/>
        <w:jc w:val="start"/>
        <w:rPr>
          <w:sz w:val="24"/>
          <w:szCs w:val="24"/>
        </w:rPr>
      </w:pPr>
      <w:r>
        <w:rPr>
          <w:sz w:val="24"/>
          <w:szCs w:val="24"/>
        </w:rPr>
        <w:t>Accroître l'impact des interventions du RAPLIQ dans la lutte contre la discrimination.</w:t>
      </w:r>
    </w:p>
    <w:p>
      <w:pPr>
        <w:pStyle w:val="Normal"/>
        <w:bidi w:val="0"/>
        <w:jc w:val="start"/>
        <w:rPr>
          <w:b/>
          <w:bCs/>
        </w:rPr>
      </w:pPr>
      <w:bookmarkStart w:id="125" w:name="_dtirnlgv8und"/>
      <w:bookmarkEnd w:id="125"/>
      <w:r>
        <w:rPr>
          <w:b/>
          <w:bCs/>
        </w:rPr>
        <w:t>Actions prévues</w:t>
      </w:r>
    </w:p>
    <w:p>
      <w:pPr>
        <w:pStyle w:val="Normal"/>
        <w:numPr>
          <w:ilvl w:val="0"/>
          <w:numId w:val="24"/>
        </w:numPr>
        <w:bidi w:val="0"/>
        <w:spacing w:lineRule="auto" w:line="240" w:before="240" w:after="0"/>
        <w:jc w:val="start"/>
        <w:rPr>
          <w:sz w:val="24"/>
          <w:szCs w:val="24"/>
        </w:rPr>
      </w:pPr>
      <w:r>
        <w:rPr>
          <w:sz w:val="24"/>
          <w:szCs w:val="24"/>
        </w:rPr>
        <w:t>Accompagner les personnes handicapées victimes de discrimination dans leurs démarches.</w:t>
      </w:r>
    </w:p>
    <w:p>
      <w:pPr>
        <w:pStyle w:val="Normal"/>
        <w:numPr>
          <w:ilvl w:val="0"/>
          <w:numId w:val="24"/>
        </w:numPr>
        <w:bidi w:val="0"/>
        <w:spacing w:lineRule="auto" w:line="240"/>
        <w:jc w:val="start"/>
        <w:rPr>
          <w:sz w:val="24"/>
          <w:szCs w:val="24"/>
        </w:rPr>
      </w:pPr>
      <w:r>
        <w:rPr>
          <w:sz w:val="24"/>
          <w:szCs w:val="24"/>
        </w:rPr>
        <w:t>Déposer et soutenir des recours stratégiques lorsque nécessaire.</w:t>
      </w:r>
    </w:p>
    <w:p>
      <w:pPr>
        <w:pStyle w:val="Normal"/>
        <w:numPr>
          <w:ilvl w:val="0"/>
          <w:numId w:val="24"/>
        </w:numPr>
        <w:bidi w:val="0"/>
        <w:spacing w:lineRule="auto" w:line="240"/>
        <w:jc w:val="start"/>
        <w:rPr>
          <w:sz w:val="24"/>
          <w:szCs w:val="24"/>
        </w:rPr>
      </w:pPr>
      <w:r>
        <w:rPr>
          <w:sz w:val="24"/>
          <w:szCs w:val="24"/>
        </w:rPr>
        <w:t>Produire des mémoires, avis et recommandations auprès des décideurs publics.</w:t>
      </w:r>
    </w:p>
    <w:p>
      <w:pPr>
        <w:pStyle w:val="Normal"/>
        <w:numPr>
          <w:ilvl w:val="0"/>
          <w:numId w:val="24"/>
        </w:numPr>
        <w:bidi w:val="0"/>
        <w:spacing w:lineRule="auto" w:line="240" w:before="0" w:after="240"/>
        <w:jc w:val="start"/>
        <w:rPr>
          <w:sz w:val="24"/>
          <w:szCs w:val="24"/>
        </w:rPr>
      </w:pPr>
      <w:r>
        <w:rPr>
          <w:sz w:val="24"/>
          <w:szCs w:val="24"/>
        </w:rPr>
        <w:t>Assurer une veille des enjeux émergents touchant les droits des personnes handicapées.</w:t>
      </w:r>
    </w:p>
    <w:p>
      <w:pPr>
        <w:pStyle w:val="Normal"/>
        <w:bidi w:val="0"/>
        <w:jc w:val="start"/>
        <w:rPr>
          <w:b/>
          <w:bCs/>
        </w:rPr>
      </w:pPr>
      <w:bookmarkStart w:id="126" w:name="_qflusmoew2yw"/>
      <w:bookmarkEnd w:id="126"/>
      <w:r>
        <w:rPr>
          <w:b/>
          <w:bCs/>
        </w:rPr>
        <w:t>Indicateurs</w:t>
      </w:r>
    </w:p>
    <w:p>
      <w:pPr>
        <w:pStyle w:val="Normal"/>
        <w:numPr>
          <w:ilvl w:val="0"/>
          <w:numId w:val="25"/>
        </w:numPr>
        <w:bidi w:val="0"/>
        <w:spacing w:lineRule="auto" w:line="240" w:before="240" w:after="0"/>
        <w:jc w:val="start"/>
        <w:rPr>
          <w:sz w:val="24"/>
          <w:szCs w:val="24"/>
        </w:rPr>
      </w:pPr>
      <w:r>
        <w:rPr>
          <w:sz w:val="24"/>
          <w:szCs w:val="24"/>
        </w:rPr>
        <w:t>Nombre de dossiers traités.</w:t>
      </w:r>
    </w:p>
    <w:p>
      <w:pPr>
        <w:pStyle w:val="Normal"/>
        <w:numPr>
          <w:ilvl w:val="0"/>
          <w:numId w:val="25"/>
        </w:numPr>
        <w:bidi w:val="0"/>
        <w:spacing w:lineRule="auto" w:line="240"/>
        <w:jc w:val="start"/>
        <w:rPr>
          <w:sz w:val="24"/>
          <w:szCs w:val="24"/>
        </w:rPr>
      </w:pPr>
      <w:r>
        <w:rPr>
          <w:sz w:val="24"/>
          <w:szCs w:val="24"/>
        </w:rPr>
        <w:t>Nombre de plaintes accompagnées.</w:t>
      </w:r>
    </w:p>
    <w:p>
      <w:pPr>
        <w:pStyle w:val="Normal"/>
        <w:numPr>
          <w:ilvl w:val="0"/>
          <w:numId w:val="25"/>
        </w:numPr>
        <w:bidi w:val="0"/>
        <w:spacing w:lineRule="auto" w:line="240" w:before="0" w:after="240"/>
        <w:jc w:val="start"/>
        <w:rPr>
          <w:sz w:val="24"/>
          <w:szCs w:val="24"/>
        </w:rPr>
      </w:pPr>
      <w:r>
        <w:rPr>
          <w:sz w:val="24"/>
          <w:szCs w:val="24"/>
        </w:rPr>
        <w:t>Nombre d'interventions publiques réalisées.</w:t>
      </w:r>
    </w:p>
    <w:p>
      <w:pPr>
        <w:pStyle w:val="Normal"/>
        <w:bidi w:val="0"/>
        <w:spacing w:lineRule="auto" w:line="240" w:before="240" w:after="240"/>
        <w:ind w:hanging="360" w:start="720"/>
        <w:jc w:val="start"/>
        <w:rPr>
          <w:sz w:val="24"/>
          <w:szCs w:val="24"/>
        </w:rPr>
      </w:pPr>
      <w:r>
        <w:rPr/>
        <mc:AlternateContent>
          <mc:Choice Requires="wps">
            <w:drawing>
              <wp:inline distT="0" distB="0" distL="0" distR="0">
                <wp:extent cx="5731510" cy="19050"/>
                <wp:effectExtent l="0" t="0" r="0" b="152400"/>
                <wp:docPr id="7" name="Shape1"/>
                <a:graphic xmlns:a="http://schemas.openxmlformats.org/drawingml/2006/main">
                  <a:graphicData uri="http://schemas.microsoft.com/office/word/2010/wordprocessingShape">
                    <wps:wsp>
                      <wps:cNvSpPr/>
                      <wps:spPr>
                        <a:xfrm>
                          <a:off x="0" y="0"/>
                          <a:ext cx="5731560" cy="19080"/>
                        </a:xfrm>
                        <a:prstGeom prst="rect">
                          <a:avLst/>
                        </a:prstGeom>
                        <a:solidFill>
                          <a:srgbClr val="a0a0a0"/>
                        </a:solidFill>
                        <a:ln w="0">
                          <a:noFill/>
                        </a:ln>
                      </wps:spPr>
                      <wps:style>
                        <a:lnRef idx="0"/>
                        <a:fillRef idx="0"/>
                        <a:effectRef idx="0"/>
                        <a:fontRef idx="minor"/>
                      </wps:style>
                      <wps:bodyPr/>
                    </wps:wsp>
                  </a:graphicData>
                </a:graphic>
              </wp:inline>
            </w:drawing>
          </mc:Choice>
          <mc:Fallback>
            <w:pict>
              <v:rect id="shape_0" ID="Shape1" path="m0,0l-2147483645,0l-2147483645,-2147483646l0,-2147483646xe" fillcolor="#a0a0a0" stroked="f" o:allowincell="f" style="position:absolute;margin-left:0pt;margin-top:-13.55pt;width:451.25pt;height:1.45pt;mso-wrap-style:none;v-text-anchor:middle;mso-position-vertical:top">
                <v:fill o:detectmouseclick="t" type="solid" color2="#5f5f5f"/>
                <v:stroke color="#3465a4" joinstyle="round" endcap="flat"/>
                <w10:wrap type="square"/>
              </v:rect>
            </w:pict>
          </mc:Fallback>
        </mc:AlternateContent>
      </w:r>
    </w:p>
    <w:p>
      <w:pPr>
        <w:pStyle w:val="Heading3"/>
        <w:bidi w:val="0"/>
        <w:jc w:val="start"/>
        <w:rPr/>
      </w:pPr>
      <w:bookmarkStart w:id="127" w:name="__RefHeading___Toc11645_3997879255"/>
      <w:bookmarkStart w:id="128" w:name="_Toc231401509"/>
      <w:bookmarkStart w:id="129" w:name="_r4w8uzy79neo"/>
      <w:bookmarkEnd w:id="127"/>
      <w:bookmarkEnd w:id="129"/>
      <w:r>
        <w:rPr/>
        <w:t>Orientation 2 – Influencer les politiques publiques</w:t>
      </w:r>
      <w:bookmarkEnd w:id="128"/>
    </w:p>
    <w:p>
      <w:pPr>
        <w:pStyle w:val="Normal"/>
        <w:bidi w:val="0"/>
        <w:jc w:val="start"/>
        <w:rPr>
          <w:b/>
          <w:bCs/>
        </w:rPr>
      </w:pPr>
      <w:bookmarkStart w:id="130" w:name="_7dbcomoycpri"/>
      <w:bookmarkEnd w:id="130"/>
      <w:r>
        <w:rPr>
          <w:b/>
          <w:bCs/>
        </w:rPr>
        <w:t>Objectif</w:t>
      </w:r>
    </w:p>
    <w:p>
      <w:pPr>
        <w:pStyle w:val="Normal"/>
        <w:bidi w:val="0"/>
        <w:spacing w:lineRule="auto" w:line="240" w:before="240" w:after="240"/>
        <w:jc w:val="start"/>
        <w:rPr>
          <w:sz w:val="24"/>
          <w:szCs w:val="24"/>
        </w:rPr>
      </w:pPr>
      <w:r>
        <w:rPr>
          <w:sz w:val="24"/>
          <w:szCs w:val="24"/>
        </w:rPr>
        <w:t>Positionner le RAPLIQ comme un interlocuteur incontournable auprès des gouvernements.</w:t>
      </w:r>
    </w:p>
    <w:p>
      <w:pPr>
        <w:pStyle w:val="Normal"/>
        <w:bidi w:val="0"/>
        <w:jc w:val="start"/>
        <w:rPr>
          <w:b/>
          <w:bCs/>
        </w:rPr>
      </w:pPr>
      <w:bookmarkStart w:id="131" w:name="_2azmkonte2v9"/>
      <w:bookmarkEnd w:id="131"/>
      <w:r>
        <w:rPr>
          <w:b/>
          <w:bCs/>
        </w:rPr>
        <w:t>Actions prévues</w:t>
      </w:r>
    </w:p>
    <w:p>
      <w:pPr>
        <w:pStyle w:val="Normal"/>
        <w:numPr>
          <w:ilvl w:val="0"/>
          <w:numId w:val="26"/>
        </w:numPr>
        <w:bidi w:val="0"/>
        <w:spacing w:lineRule="auto" w:line="240" w:before="240" w:after="0"/>
        <w:jc w:val="start"/>
        <w:rPr>
          <w:sz w:val="24"/>
          <w:szCs w:val="24"/>
        </w:rPr>
      </w:pPr>
      <w:r>
        <w:rPr>
          <w:sz w:val="24"/>
          <w:szCs w:val="24"/>
        </w:rPr>
        <w:t>Participer aux consultations gouvernementales.</w:t>
      </w:r>
    </w:p>
    <w:p>
      <w:pPr>
        <w:pStyle w:val="Normal"/>
        <w:numPr>
          <w:ilvl w:val="0"/>
          <w:numId w:val="26"/>
        </w:numPr>
        <w:bidi w:val="0"/>
        <w:spacing w:lineRule="auto" w:line="240"/>
        <w:jc w:val="start"/>
        <w:rPr>
          <w:sz w:val="24"/>
          <w:szCs w:val="24"/>
        </w:rPr>
      </w:pPr>
      <w:r>
        <w:rPr>
          <w:sz w:val="24"/>
          <w:szCs w:val="24"/>
        </w:rPr>
        <w:t>Rencontrer les ministres, députés et hauts fonctionnaires.</w:t>
      </w:r>
    </w:p>
    <w:p>
      <w:pPr>
        <w:pStyle w:val="Normal"/>
        <w:numPr>
          <w:ilvl w:val="0"/>
          <w:numId w:val="26"/>
        </w:numPr>
        <w:bidi w:val="0"/>
        <w:spacing w:lineRule="auto" w:line="240"/>
        <w:jc w:val="start"/>
        <w:rPr>
          <w:sz w:val="24"/>
          <w:szCs w:val="24"/>
        </w:rPr>
      </w:pPr>
      <w:r>
        <w:rPr>
          <w:sz w:val="24"/>
          <w:szCs w:val="24"/>
        </w:rPr>
        <w:t>Assurer un suivi des engagements gouvernementaux concernant les personnes handicapées.</w:t>
      </w:r>
    </w:p>
    <w:p>
      <w:pPr>
        <w:pStyle w:val="Normal"/>
        <w:numPr>
          <w:ilvl w:val="0"/>
          <w:numId w:val="26"/>
        </w:numPr>
        <w:bidi w:val="0"/>
        <w:spacing w:lineRule="auto" w:line="240" w:before="0" w:after="240"/>
        <w:jc w:val="start"/>
        <w:rPr>
          <w:sz w:val="24"/>
          <w:szCs w:val="24"/>
        </w:rPr>
      </w:pPr>
      <w:r>
        <w:rPr>
          <w:sz w:val="24"/>
          <w:szCs w:val="24"/>
        </w:rPr>
        <w:t>Maintenir une présence active dans les coalitions nationales.</w:t>
      </w:r>
    </w:p>
    <w:p>
      <w:pPr>
        <w:pStyle w:val="Normal"/>
        <w:bidi w:val="0"/>
        <w:jc w:val="start"/>
        <w:rPr>
          <w:b/>
          <w:bCs/>
        </w:rPr>
      </w:pPr>
      <w:bookmarkStart w:id="132" w:name="_b4a53j1ww5u"/>
      <w:bookmarkEnd w:id="132"/>
      <w:r>
        <w:rPr>
          <w:b/>
          <w:bCs/>
        </w:rPr>
        <w:t>Indicateurs</w:t>
      </w:r>
    </w:p>
    <w:p>
      <w:pPr>
        <w:pStyle w:val="Normal"/>
        <w:numPr>
          <w:ilvl w:val="0"/>
          <w:numId w:val="27"/>
        </w:numPr>
        <w:bidi w:val="0"/>
        <w:spacing w:lineRule="auto" w:line="240" w:before="240" w:after="0"/>
        <w:jc w:val="start"/>
        <w:rPr>
          <w:sz w:val="24"/>
          <w:szCs w:val="24"/>
        </w:rPr>
      </w:pPr>
      <w:r>
        <w:rPr>
          <w:sz w:val="24"/>
          <w:szCs w:val="24"/>
        </w:rPr>
        <w:t>Nombre de rencontres politiques.</w:t>
      </w:r>
    </w:p>
    <w:p>
      <w:pPr>
        <w:pStyle w:val="Normal"/>
        <w:numPr>
          <w:ilvl w:val="0"/>
          <w:numId w:val="27"/>
        </w:numPr>
        <w:bidi w:val="0"/>
        <w:spacing w:lineRule="auto" w:line="240"/>
        <w:jc w:val="start"/>
        <w:rPr>
          <w:sz w:val="24"/>
          <w:szCs w:val="24"/>
        </w:rPr>
      </w:pPr>
      <w:r>
        <w:rPr>
          <w:sz w:val="24"/>
          <w:szCs w:val="24"/>
        </w:rPr>
        <w:t>Nombre de mémoires déposés.</w:t>
      </w:r>
    </w:p>
    <w:p>
      <w:pPr>
        <w:pStyle w:val="Normal"/>
        <w:numPr>
          <w:ilvl w:val="0"/>
          <w:numId w:val="27"/>
        </w:numPr>
        <w:bidi w:val="0"/>
        <w:spacing w:lineRule="auto" w:line="240" w:before="0" w:after="240"/>
        <w:jc w:val="start"/>
        <w:rPr>
          <w:sz w:val="24"/>
          <w:szCs w:val="24"/>
        </w:rPr>
      </w:pPr>
      <w:r>
        <w:rPr>
          <w:sz w:val="24"/>
          <w:szCs w:val="24"/>
        </w:rPr>
        <w:t>Nombre de recommandations retenues.</w:t>
      </w:r>
    </w:p>
    <w:p>
      <w:pPr>
        <w:pStyle w:val="Normal"/>
        <w:bidi w:val="0"/>
        <w:spacing w:lineRule="auto" w:line="240" w:before="240" w:after="240"/>
        <w:ind w:hanging="360" w:start="720"/>
        <w:jc w:val="start"/>
        <w:rPr>
          <w:sz w:val="24"/>
          <w:szCs w:val="24"/>
        </w:rPr>
      </w:pPr>
      <w:r>
        <w:rPr/>
        <mc:AlternateContent>
          <mc:Choice Requires="wps">
            <w:drawing>
              <wp:inline distT="0" distB="0" distL="0" distR="0">
                <wp:extent cx="5731510" cy="19050"/>
                <wp:effectExtent l="0" t="0" r="0" b="152400"/>
                <wp:docPr id="8" name="Shape2"/>
                <a:graphic xmlns:a="http://schemas.openxmlformats.org/drawingml/2006/main">
                  <a:graphicData uri="http://schemas.microsoft.com/office/word/2010/wordprocessingShape">
                    <wps:wsp>
                      <wps:cNvSpPr/>
                      <wps:spPr>
                        <a:xfrm>
                          <a:off x="0" y="0"/>
                          <a:ext cx="5731560" cy="19080"/>
                        </a:xfrm>
                        <a:prstGeom prst="rect">
                          <a:avLst/>
                        </a:prstGeom>
                        <a:solidFill>
                          <a:srgbClr val="a0a0a0"/>
                        </a:solidFill>
                        <a:ln w="0">
                          <a:noFill/>
                        </a:ln>
                      </wps:spPr>
                      <wps:style>
                        <a:lnRef idx="0"/>
                        <a:fillRef idx="0"/>
                        <a:effectRef idx="0"/>
                        <a:fontRef idx="minor"/>
                      </wps:style>
                      <wps:bodyPr/>
                    </wps:wsp>
                  </a:graphicData>
                </a:graphic>
              </wp:inline>
            </w:drawing>
          </mc:Choice>
          <mc:Fallback>
            <w:pict>
              <v:rect id="shape_0" ID="Shape2" path="m0,0l-2147483645,0l-2147483645,-2147483646l0,-2147483646xe" fillcolor="#a0a0a0" stroked="f" o:allowincell="f" style="position:absolute;margin-left:0pt;margin-top:-13.55pt;width:451.25pt;height:1.45pt;mso-wrap-style:none;v-text-anchor:middle;mso-position-vertical:top">
                <v:fill o:detectmouseclick="t" type="solid" color2="#5f5f5f"/>
                <v:stroke color="#3465a4" joinstyle="round" endcap="flat"/>
                <w10:wrap type="square"/>
              </v:rect>
            </w:pict>
          </mc:Fallback>
        </mc:AlternateContent>
      </w:r>
    </w:p>
    <w:p>
      <w:pPr>
        <w:pStyle w:val="Heading3"/>
        <w:bidi w:val="0"/>
        <w:jc w:val="start"/>
        <w:rPr/>
      </w:pPr>
      <w:bookmarkStart w:id="133" w:name="__RefHeading___Toc11647_3997879255"/>
      <w:bookmarkStart w:id="134" w:name="_Toc231401510"/>
      <w:bookmarkStart w:id="135" w:name="_g0if4e3x087n"/>
      <w:bookmarkEnd w:id="133"/>
      <w:bookmarkEnd w:id="135"/>
      <w:r>
        <w:rPr/>
        <w:t>Orientation 3 – Améliorer l'accessibilité universelle</w:t>
      </w:r>
      <w:bookmarkEnd w:id="134"/>
    </w:p>
    <w:p>
      <w:pPr>
        <w:pStyle w:val="Normal"/>
        <w:bidi w:val="0"/>
        <w:jc w:val="start"/>
        <w:rPr>
          <w:b/>
          <w:bCs/>
        </w:rPr>
      </w:pPr>
      <w:bookmarkStart w:id="136" w:name="_3rewibd1n4dw"/>
      <w:bookmarkEnd w:id="136"/>
      <w:r>
        <w:rPr>
          <w:b/>
          <w:bCs/>
        </w:rPr>
        <w:t>Objectif</w:t>
      </w:r>
    </w:p>
    <w:p>
      <w:pPr>
        <w:pStyle w:val="Normal"/>
        <w:bidi w:val="0"/>
        <w:spacing w:lineRule="auto" w:line="240" w:before="240" w:after="240"/>
        <w:jc w:val="start"/>
        <w:rPr>
          <w:sz w:val="24"/>
          <w:szCs w:val="24"/>
        </w:rPr>
      </w:pPr>
      <w:r>
        <w:rPr>
          <w:sz w:val="24"/>
          <w:szCs w:val="24"/>
        </w:rPr>
        <w:t>Faire progresser l'accessibilité dans les espaces publics et privés.</w:t>
      </w:r>
    </w:p>
    <w:p>
      <w:pPr>
        <w:pStyle w:val="Normal"/>
        <w:bidi w:val="0"/>
        <w:jc w:val="start"/>
        <w:rPr>
          <w:b/>
          <w:bCs/>
        </w:rPr>
      </w:pPr>
      <w:bookmarkStart w:id="137" w:name="_qhytjhpt7sld"/>
      <w:bookmarkEnd w:id="137"/>
      <w:r>
        <w:rPr>
          <w:b/>
          <w:bCs/>
        </w:rPr>
        <w:t>Actions prévues</w:t>
      </w:r>
    </w:p>
    <w:p>
      <w:pPr>
        <w:pStyle w:val="Normal"/>
        <w:numPr>
          <w:ilvl w:val="0"/>
          <w:numId w:val="28"/>
        </w:numPr>
        <w:bidi w:val="0"/>
        <w:spacing w:lineRule="auto" w:line="240" w:before="240" w:after="0"/>
        <w:jc w:val="start"/>
        <w:rPr>
          <w:sz w:val="24"/>
          <w:szCs w:val="24"/>
        </w:rPr>
      </w:pPr>
      <w:r>
        <w:rPr>
          <w:sz w:val="24"/>
          <w:szCs w:val="24"/>
        </w:rPr>
        <w:t>Poursuivre les interventions en matière de transport adapté.</w:t>
      </w:r>
    </w:p>
    <w:p>
      <w:pPr>
        <w:pStyle w:val="Normal"/>
        <w:numPr>
          <w:ilvl w:val="0"/>
          <w:numId w:val="28"/>
        </w:numPr>
        <w:bidi w:val="0"/>
        <w:spacing w:lineRule="auto" w:line="240"/>
        <w:jc w:val="start"/>
        <w:rPr>
          <w:sz w:val="24"/>
          <w:szCs w:val="24"/>
        </w:rPr>
      </w:pPr>
      <w:r>
        <w:rPr>
          <w:sz w:val="24"/>
          <w:szCs w:val="24"/>
        </w:rPr>
        <w:t>Réaliser des démarches concernant l'accessibilité des bâtiments, commerces et événements.</w:t>
      </w:r>
    </w:p>
    <w:p>
      <w:pPr>
        <w:pStyle w:val="Normal"/>
        <w:numPr>
          <w:ilvl w:val="0"/>
          <w:numId w:val="28"/>
        </w:numPr>
        <w:bidi w:val="0"/>
        <w:spacing w:lineRule="auto" w:line="240" w:before="0" w:after="240"/>
        <w:jc w:val="start"/>
        <w:rPr>
          <w:sz w:val="24"/>
          <w:szCs w:val="24"/>
        </w:rPr>
      </w:pPr>
      <w:r>
        <w:rPr>
          <w:sz w:val="24"/>
          <w:szCs w:val="24"/>
        </w:rPr>
        <w:t>Sensibiliser les municipalités et les promoteurs immobiliers.</w:t>
      </w:r>
    </w:p>
    <w:p>
      <w:pPr>
        <w:pStyle w:val="Normal"/>
        <w:bidi w:val="0"/>
        <w:jc w:val="start"/>
        <w:rPr>
          <w:b/>
          <w:bCs/>
        </w:rPr>
      </w:pPr>
      <w:bookmarkStart w:id="138" w:name="_47nusgqrja65"/>
      <w:bookmarkEnd w:id="138"/>
      <w:r>
        <w:rPr>
          <w:b/>
          <w:bCs/>
        </w:rPr>
        <w:t>Indicateurs</w:t>
      </w:r>
    </w:p>
    <w:p>
      <w:pPr>
        <w:pStyle w:val="Normal"/>
        <w:numPr>
          <w:ilvl w:val="0"/>
          <w:numId w:val="29"/>
        </w:numPr>
        <w:bidi w:val="0"/>
        <w:spacing w:lineRule="auto" w:line="240" w:before="240" w:after="0"/>
        <w:jc w:val="start"/>
        <w:rPr>
          <w:sz w:val="24"/>
          <w:szCs w:val="24"/>
        </w:rPr>
      </w:pPr>
      <w:r>
        <w:rPr>
          <w:sz w:val="24"/>
          <w:szCs w:val="24"/>
        </w:rPr>
        <w:t>Nombre d'interventions réalisées.</w:t>
      </w:r>
    </w:p>
    <w:p>
      <w:pPr>
        <w:pStyle w:val="Normal"/>
        <w:numPr>
          <w:ilvl w:val="0"/>
          <w:numId w:val="29"/>
        </w:numPr>
        <w:bidi w:val="0"/>
        <w:spacing w:lineRule="auto" w:line="240"/>
        <w:jc w:val="start"/>
        <w:rPr>
          <w:sz w:val="24"/>
          <w:szCs w:val="24"/>
        </w:rPr>
      </w:pPr>
      <w:r>
        <w:rPr>
          <w:sz w:val="24"/>
          <w:szCs w:val="24"/>
        </w:rPr>
        <w:t>Nombre de correctifs obtenus.</w:t>
      </w:r>
    </w:p>
    <w:p>
      <w:pPr>
        <w:pStyle w:val="Normal"/>
        <w:numPr>
          <w:ilvl w:val="0"/>
          <w:numId w:val="29"/>
        </w:numPr>
        <w:bidi w:val="0"/>
        <w:spacing w:lineRule="auto" w:line="240" w:before="0" w:after="240"/>
        <w:jc w:val="start"/>
        <w:rPr>
          <w:sz w:val="24"/>
          <w:szCs w:val="24"/>
        </w:rPr>
      </w:pPr>
      <w:r>
        <w:rPr>
          <w:sz w:val="24"/>
          <w:szCs w:val="24"/>
        </w:rPr>
        <w:t>Nombre de partenaires sensibilisés.</w:t>
      </w:r>
    </w:p>
    <w:p>
      <w:pPr>
        <w:pStyle w:val="Normal"/>
        <w:bidi w:val="0"/>
        <w:spacing w:lineRule="auto" w:line="240" w:before="240" w:after="240"/>
        <w:ind w:hanging="360" w:start="720"/>
        <w:jc w:val="start"/>
        <w:rPr>
          <w:sz w:val="24"/>
          <w:szCs w:val="24"/>
        </w:rPr>
      </w:pPr>
      <w:r>
        <w:rPr/>
        <mc:AlternateContent>
          <mc:Choice Requires="wps">
            <w:drawing>
              <wp:inline distT="0" distB="0" distL="0" distR="0">
                <wp:extent cx="5731510" cy="19050"/>
                <wp:effectExtent l="0" t="0" r="0" b="152400"/>
                <wp:docPr id="9" name="Shape3"/>
                <a:graphic xmlns:a="http://schemas.openxmlformats.org/drawingml/2006/main">
                  <a:graphicData uri="http://schemas.microsoft.com/office/word/2010/wordprocessingShape">
                    <wps:wsp>
                      <wps:cNvSpPr/>
                      <wps:spPr>
                        <a:xfrm>
                          <a:off x="0" y="0"/>
                          <a:ext cx="5731560" cy="19080"/>
                        </a:xfrm>
                        <a:prstGeom prst="rect">
                          <a:avLst/>
                        </a:prstGeom>
                        <a:solidFill>
                          <a:srgbClr val="a0a0a0"/>
                        </a:solidFill>
                        <a:ln w="0">
                          <a:noFill/>
                        </a:ln>
                      </wps:spPr>
                      <wps:style>
                        <a:lnRef idx="0"/>
                        <a:fillRef idx="0"/>
                        <a:effectRef idx="0"/>
                        <a:fontRef idx="minor"/>
                      </wps:style>
                      <wps:bodyPr/>
                    </wps:wsp>
                  </a:graphicData>
                </a:graphic>
              </wp:inline>
            </w:drawing>
          </mc:Choice>
          <mc:Fallback>
            <w:pict>
              <v:rect id="shape_0" ID="Shape3" path="m0,0l-2147483645,0l-2147483645,-2147483646l0,-2147483646xe" fillcolor="#a0a0a0" stroked="f" o:allowincell="f" style="position:absolute;margin-left:0pt;margin-top:-13.55pt;width:451.25pt;height:1.45pt;mso-wrap-style:none;v-text-anchor:middle;mso-position-vertical:top">
                <v:fill o:detectmouseclick="t" type="solid" color2="#5f5f5f"/>
                <v:stroke color="#3465a4" joinstyle="round" endcap="flat"/>
                <w10:wrap type="square"/>
              </v:rect>
            </w:pict>
          </mc:Fallback>
        </mc:AlternateContent>
      </w:r>
    </w:p>
    <w:p>
      <w:pPr>
        <w:pStyle w:val="Heading3"/>
        <w:bidi w:val="0"/>
        <w:jc w:val="start"/>
        <w:rPr/>
      </w:pPr>
      <w:bookmarkStart w:id="139" w:name="__RefHeading___Toc11649_3997879255"/>
      <w:bookmarkStart w:id="140" w:name="_Toc231401511"/>
      <w:bookmarkStart w:id="141" w:name="_szg1cqt2lbem"/>
      <w:bookmarkEnd w:id="139"/>
      <w:bookmarkEnd w:id="141"/>
      <w:r>
        <w:rPr/>
        <w:t>Orientation 4 – Renforcer les communications et la mobilisation</w:t>
      </w:r>
      <w:bookmarkEnd w:id="140"/>
    </w:p>
    <w:p>
      <w:pPr>
        <w:pStyle w:val="Normal"/>
        <w:bidi w:val="0"/>
        <w:jc w:val="start"/>
        <w:rPr>
          <w:b/>
          <w:bCs/>
        </w:rPr>
      </w:pPr>
      <w:bookmarkStart w:id="142" w:name="_uedj7gpbnhls"/>
      <w:bookmarkEnd w:id="142"/>
      <w:r>
        <w:rPr>
          <w:b/>
          <w:bCs/>
        </w:rPr>
        <w:t>Objectif</w:t>
      </w:r>
    </w:p>
    <w:p>
      <w:pPr>
        <w:pStyle w:val="Normal"/>
        <w:bidi w:val="0"/>
        <w:spacing w:lineRule="auto" w:line="240" w:before="240" w:after="240"/>
        <w:jc w:val="start"/>
        <w:rPr>
          <w:sz w:val="24"/>
          <w:szCs w:val="24"/>
        </w:rPr>
      </w:pPr>
      <w:r>
        <w:rPr>
          <w:sz w:val="24"/>
          <w:szCs w:val="24"/>
        </w:rPr>
        <w:t>Accroître la visibilité du RAPLIQ et des enjeux vécus par les personnes handicapées.</w:t>
      </w:r>
    </w:p>
    <w:p>
      <w:pPr>
        <w:pStyle w:val="Normal"/>
        <w:bidi w:val="0"/>
        <w:jc w:val="start"/>
        <w:rPr>
          <w:b/>
          <w:bCs/>
        </w:rPr>
      </w:pPr>
      <w:bookmarkStart w:id="143" w:name="_9okljz8k1qc6"/>
      <w:bookmarkEnd w:id="143"/>
      <w:r>
        <w:rPr>
          <w:b/>
          <w:bCs/>
        </w:rPr>
        <w:t>Actions prévues</w:t>
      </w:r>
    </w:p>
    <w:p>
      <w:pPr>
        <w:pStyle w:val="Normal"/>
        <w:numPr>
          <w:ilvl w:val="0"/>
          <w:numId w:val="30"/>
        </w:numPr>
        <w:bidi w:val="0"/>
        <w:spacing w:lineRule="auto" w:line="240" w:before="240" w:after="0"/>
        <w:jc w:val="start"/>
        <w:rPr>
          <w:sz w:val="24"/>
          <w:szCs w:val="24"/>
        </w:rPr>
      </w:pPr>
      <w:r>
        <w:rPr>
          <w:sz w:val="24"/>
          <w:szCs w:val="24"/>
        </w:rPr>
        <w:t>Développer les médias sociaux.</w:t>
      </w:r>
    </w:p>
    <w:p>
      <w:pPr>
        <w:pStyle w:val="Normal"/>
        <w:numPr>
          <w:ilvl w:val="0"/>
          <w:numId w:val="30"/>
        </w:numPr>
        <w:bidi w:val="0"/>
        <w:spacing w:lineRule="auto" w:line="240"/>
        <w:jc w:val="start"/>
        <w:rPr>
          <w:sz w:val="24"/>
          <w:szCs w:val="24"/>
        </w:rPr>
      </w:pPr>
      <w:r>
        <w:rPr>
          <w:sz w:val="24"/>
          <w:szCs w:val="24"/>
        </w:rPr>
        <w:t>Produire des campagnes de sensibilisation.</w:t>
      </w:r>
    </w:p>
    <w:p>
      <w:pPr>
        <w:pStyle w:val="Normal"/>
        <w:numPr>
          <w:ilvl w:val="0"/>
          <w:numId w:val="30"/>
        </w:numPr>
        <w:bidi w:val="0"/>
        <w:spacing w:lineRule="auto" w:line="240"/>
        <w:jc w:val="start"/>
        <w:rPr>
          <w:sz w:val="24"/>
          <w:szCs w:val="24"/>
        </w:rPr>
      </w:pPr>
      <w:r>
        <w:rPr>
          <w:sz w:val="24"/>
          <w:szCs w:val="24"/>
        </w:rPr>
        <w:t>Poursuivre la diffusion du balado et de l'infolettre.</w:t>
      </w:r>
    </w:p>
    <w:p>
      <w:pPr>
        <w:pStyle w:val="Normal"/>
        <w:numPr>
          <w:ilvl w:val="0"/>
          <w:numId w:val="30"/>
        </w:numPr>
        <w:bidi w:val="0"/>
        <w:spacing w:lineRule="auto" w:line="240" w:before="0" w:after="240"/>
        <w:jc w:val="start"/>
        <w:rPr>
          <w:sz w:val="24"/>
          <w:szCs w:val="24"/>
        </w:rPr>
      </w:pPr>
      <w:r>
        <w:rPr>
          <w:sz w:val="24"/>
          <w:szCs w:val="24"/>
        </w:rPr>
        <w:t>Augmenter la couverture médiatique des dossiers prioritaires.</w:t>
      </w:r>
    </w:p>
    <w:p>
      <w:pPr>
        <w:pStyle w:val="Normal"/>
        <w:bidi w:val="0"/>
        <w:jc w:val="start"/>
        <w:rPr>
          <w:b/>
          <w:bCs/>
        </w:rPr>
      </w:pPr>
      <w:bookmarkStart w:id="144" w:name="_gzta8uxpi6dc"/>
      <w:bookmarkEnd w:id="144"/>
      <w:r>
        <w:rPr>
          <w:b/>
          <w:bCs/>
        </w:rPr>
        <w:t>Indicateurs</w:t>
      </w:r>
    </w:p>
    <w:p>
      <w:pPr>
        <w:pStyle w:val="Normal"/>
        <w:numPr>
          <w:ilvl w:val="0"/>
          <w:numId w:val="31"/>
        </w:numPr>
        <w:bidi w:val="0"/>
        <w:spacing w:lineRule="auto" w:line="240" w:before="240" w:after="0"/>
        <w:jc w:val="start"/>
        <w:rPr>
          <w:sz w:val="24"/>
          <w:szCs w:val="24"/>
        </w:rPr>
      </w:pPr>
      <w:r>
        <w:rPr>
          <w:sz w:val="24"/>
          <w:szCs w:val="24"/>
        </w:rPr>
        <w:t>Nombre d'abonnés.</w:t>
      </w:r>
    </w:p>
    <w:p>
      <w:pPr>
        <w:pStyle w:val="Normal"/>
        <w:numPr>
          <w:ilvl w:val="0"/>
          <w:numId w:val="31"/>
        </w:numPr>
        <w:bidi w:val="0"/>
        <w:spacing w:lineRule="auto" w:line="240"/>
        <w:jc w:val="start"/>
        <w:rPr>
          <w:sz w:val="24"/>
          <w:szCs w:val="24"/>
        </w:rPr>
      </w:pPr>
      <w:r>
        <w:rPr>
          <w:sz w:val="24"/>
          <w:szCs w:val="24"/>
        </w:rPr>
        <w:t>Nombre de publications.</w:t>
      </w:r>
    </w:p>
    <w:p>
      <w:pPr>
        <w:pStyle w:val="Normal"/>
        <w:numPr>
          <w:ilvl w:val="0"/>
          <w:numId w:val="31"/>
        </w:numPr>
        <w:bidi w:val="0"/>
        <w:spacing w:lineRule="auto" w:line="240" w:before="0" w:after="240"/>
        <w:jc w:val="start"/>
        <w:rPr>
          <w:sz w:val="24"/>
          <w:szCs w:val="24"/>
        </w:rPr>
      </w:pPr>
      <w:r>
        <w:rPr>
          <w:sz w:val="24"/>
          <w:szCs w:val="24"/>
        </w:rPr>
        <w:t>Nombre d'entrevues médiatiques.</w:t>
      </w:r>
    </w:p>
    <w:p>
      <w:pPr>
        <w:pStyle w:val="Normal"/>
        <w:bidi w:val="0"/>
        <w:spacing w:lineRule="auto" w:line="240" w:before="240" w:after="240"/>
        <w:ind w:hanging="360" w:start="720"/>
        <w:jc w:val="start"/>
        <w:rPr>
          <w:sz w:val="24"/>
          <w:szCs w:val="24"/>
        </w:rPr>
      </w:pPr>
      <w:r>
        <w:rPr/>
        <mc:AlternateContent>
          <mc:Choice Requires="wps">
            <w:drawing>
              <wp:inline distT="0" distB="0" distL="0" distR="0">
                <wp:extent cx="5731510" cy="19050"/>
                <wp:effectExtent l="0" t="0" r="0" b="152400"/>
                <wp:docPr id="10" name="Shape4"/>
                <a:graphic xmlns:a="http://schemas.openxmlformats.org/drawingml/2006/main">
                  <a:graphicData uri="http://schemas.microsoft.com/office/word/2010/wordprocessingShape">
                    <wps:wsp>
                      <wps:cNvSpPr/>
                      <wps:spPr>
                        <a:xfrm>
                          <a:off x="0" y="0"/>
                          <a:ext cx="5731560" cy="19080"/>
                        </a:xfrm>
                        <a:prstGeom prst="rect">
                          <a:avLst/>
                        </a:prstGeom>
                        <a:solidFill>
                          <a:srgbClr val="a0a0a0"/>
                        </a:solidFill>
                        <a:ln w="0">
                          <a:noFill/>
                        </a:ln>
                      </wps:spPr>
                      <wps:style>
                        <a:lnRef idx="0"/>
                        <a:fillRef idx="0"/>
                        <a:effectRef idx="0"/>
                        <a:fontRef idx="minor"/>
                      </wps:style>
                      <wps:bodyPr/>
                    </wps:wsp>
                  </a:graphicData>
                </a:graphic>
              </wp:inline>
            </w:drawing>
          </mc:Choice>
          <mc:Fallback>
            <w:pict>
              <v:rect id="shape_0" ID="Shape4" path="m0,0l-2147483645,0l-2147483645,-2147483646l0,-2147483646xe" fillcolor="#a0a0a0" stroked="f" o:allowincell="f" style="position:absolute;margin-left:0pt;margin-top:-13.55pt;width:451.25pt;height:1.45pt;mso-wrap-style:none;v-text-anchor:middle;mso-position-vertical:top">
                <v:fill o:detectmouseclick="t" type="solid" color2="#5f5f5f"/>
                <v:stroke color="#3465a4" joinstyle="round" endcap="flat"/>
                <w10:wrap type="square"/>
              </v:rect>
            </w:pict>
          </mc:Fallback>
        </mc:AlternateContent>
      </w:r>
    </w:p>
    <w:p>
      <w:pPr>
        <w:pStyle w:val="Heading3"/>
        <w:bidi w:val="0"/>
        <w:jc w:val="start"/>
        <w:rPr/>
      </w:pPr>
      <w:bookmarkStart w:id="145" w:name="__RefHeading___Toc11651_3997879255"/>
      <w:bookmarkStart w:id="146" w:name="_Toc231401512"/>
      <w:bookmarkStart w:id="147" w:name="_hx6qa0ocaxx9"/>
      <w:bookmarkEnd w:id="145"/>
      <w:bookmarkEnd w:id="147"/>
      <w:r>
        <w:rPr/>
        <w:t>Orientation 5 – Assurer la croissance et la pérennité de l'organisation</w:t>
      </w:r>
      <w:bookmarkEnd w:id="146"/>
    </w:p>
    <w:p>
      <w:pPr>
        <w:pStyle w:val="Normal"/>
        <w:bidi w:val="0"/>
        <w:jc w:val="start"/>
        <w:rPr>
          <w:b/>
          <w:bCs/>
        </w:rPr>
      </w:pPr>
      <w:bookmarkStart w:id="148" w:name="_3cbha5uaonbl"/>
      <w:bookmarkEnd w:id="148"/>
      <w:r>
        <w:rPr>
          <w:b/>
          <w:bCs/>
        </w:rPr>
        <w:t>Objectif</w:t>
      </w:r>
    </w:p>
    <w:p>
      <w:pPr>
        <w:pStyle w:val="Normal"/>
        <w:bidi w:val="0"/>
        <w:spacing w:lineRule="auto" w:line="240" w:before="240" w:after="240"/>
        <w:jc w:val="start"/>
        <w:rPr>
          <w:sz w:val="24"/>
          <w:szCs w:val="24"/>
        </w:rPr>
      </w:pPr>
      <w:r>
        <w:rPr>
          <w:sz w:val="24"/>
          <w:szCs w:val="24"/>
        </w:rPr>
        <w:t>Consolider les ressources humaines, financières et organisationnelles du RAPLIQ.</w:t>
      </w:r>
    </w:p>
    <w:p>
      <w:pPr>
        <w:pStyle w:val="Normal"/>
        <w:bidi w:val="0"/>
        <w:jc w:val="start"/>
        <w:rPr>
          <w:b/>
          <w:bCs/>
        </w:rPr>
      </w:pPr>
      <w:bookmarkStart w:id="149" w:name="_evhsfr4tv1s4"/>
      <w:bookmarkEnd w:id="149"/>
      <w:r>
        <w:rPr>
          <w:b/>
          <w:bCs/>
        </w:rPr>
        <w:t>Actions prévues</w:t>
      </w:r>
    </w:p>
    <w:p>
      <w:pPr>
        <w:pStyle w:val="Normal"/>
        <w:numPr>
          <w:ilvl w:val="0"/>
          <w:numId w:val="32"/>
        </w:numPr>
        <w:bidi w:val="0"/>
        <w:spacing w:lineRule="auto" w:line="240" w:before="240" w:after="0"/>
        <w:jc w:val="start"/>
        <w:rPr>
          <w:sz w:val="24"/>
          <w:szCs w:val="24"/>
        </w:rPr>
      </w:pPr>
      <w:r>
        <w:rPr>
          <w:sz w:val="24"/>
          <w:szCs w:val="24"/>
        </w:rPr>
        <w:t>Diversifier les sources de financement.</w:t>
      </w:r>
    </w:p>
    <w:p>
      <w:pPr>
        <w:pStyle w:val="Normal"/>
        <w:numPr>
          <w:ilvl w:val="0"/>
          <w:numId w:val="32"/>
        </w:numPr>
        <w:bidi w:val="0"/>
        <w:spacing w:lineRule="auto" w:line="240"/>
        <w:jc w:val="start"/>
        <w:rPr>
          <w:sz w:val="24"/>
          <w:szCs w:val="24"/>
        </w:rPr>
      </w:pPr>
      <w:r>
        <w:rPr>
          <w:sz w:val="24"/>
          <w:szCs w:val="24"/>
        </w:rPr>
        <w:t>Développer les activités de la Fondation Décliq.</w:t>
      </w:r>
    </w:p>
    <w:p>
      <w:pPr>
        <w:pStyle w:val="Normal"/>
        <w:numPr>
          <w:ilvl w:val="0"/>
          <w:numId w:val="32"/>
        </w:numPr>
        <w:bidi w:val="0"/>
        <w:spacing w:lineRule="auto" w:line="240"/>
        <w:jc w:val="start"/>
        <w:rPr>
          <w:sz w:val="24"/>
          <w:szCs w:val="24"/>
        </w:rPr>
      </w:pPr>
      <w:r>
        <w:rPr>
          <w:sz w:val="24"/>
          <w:szCs w:val="24"/>
        </w:rPr>
        <w:t>Rechercher de nouveaux partenaires financiers.</w:t>
      </w:r>
    </w:p>
    <w:p>
      <w:pPr>
        <w:pStyle w:val="Normal"/>
        <w:numPr>
          <w:ilvl w:val="0"/>
          <w:numId w:val="32"/>
        </w:numPr>
        <w:bidi w:val="0"/>
        <w:spacing w:lineRule="auto" w:line="240" w:before="0" w:after="240"/>
        <w:jc w:val="start"/>
        <w:rPr>
          <w:sz w:val="24"/>
          <w:szCs w:val="24"/>
        </w:rPr>
      </w:pPr>
      <w:r>
        <w:rPr>
          <w:sz w:val="24"/>
          <w:szCs w:val="24"/>
        </w:rPr>
        <w:t>Moderniser les outils administratifs et technologiques.</w:t>
      </w:r>
    </w:p>
    <w:p>
      <w:pPr>
        <w:pStyle w:val="Normal"/>
        <w:bidi w:val="0"/>
        <w:jc w:val="start"/>
        <w:rPr>
          <w:b/>
          <w:bCs/>
        </w:rPr>
      </w:pPr>
      <w:bookmarkStart w:id="150" w:name="_p60tsitmw74e"/>
      <w:bookmarkEnd w:id="150"/>
      <w:r>
        <w:rPr>
          <w:b/>
          <w:bCs/>
        </w:rPr>
        <w:t>Indicateurs</w:t>
      </w:r>
    </w:p>
    <w:p>
      <w:pPr>
        <w:pStyle w:val="Normal"/>
        <w:numPr>
          <w:ilvl w:val="0"/>
          <w:numId w:val="33"/>
        </w:numPr>
        <w:bidi w:val="0"/>
        <w:spacing w:lineRule="auto" w:line="240" w:before="240" w:after="0"/>
        <w:jc w:val="start"/>
        <w:rPr>
          <w:sz w:val="24"/>
          <w:szCs w:val="24"/>
        </w:rPr>
      </w:pPr>
      <w:r>
        <w:rPr>
          <w:sz w:val="24"/>
          <w:szCs w:val="24"/>
        </w:rPr>
        <w:t>Revenus autonomes générés.</w:t>
      </w:r>
    </w:p>
    <w:p>
      <w:pPr>
        <w:pStyle w:val="Normal"/>
        <w:numPr>
          <w:ilvl w:val="0"/>
          <w:numId w:val="33"/>
        </w:numPr>
        <w:bidi w:val="0"/>
        <w:spacing w:lineRule="auto" w:line="240"/>
        <w:jc w:val="start"/>
        <w:rPr>
          <w:sz w:val="24"/>
          <w:szCs w:val="24"/>
        </w:rPr>
      </w:pPr>
      <w:r>
        <w:rPr>
          <w:sz w:val="24"/>
          <w:szCs w:val="24"/>
        </w:rPr>
        <w:t>Nombre de nouveaux bailleurs de fonds.</w:t>
      </w:r>
    </w:p>
    <w:p>
      <w:pPr>
        <w:pStyle w:val="Normal"/>
        <w:numPr>
          <w:ilvl w:val="0"/>
          <w:numId w:val="33"/>
        </w:numPr>
        <w:bidi w:val="0"/>
        <w:spacing w:lineRule="auto" w:line="240" w:before="0" w:after="240"/>
        <w:jc w:val="start"/>
        <w:rPr>
          <w:sz w:val="24"/>
          <w:szCs w:val="24"/>
        </w:rPr>
      </w:pPr>
      <w:r>
        <w:rPr>
          <w:sz w:val="24"/>
          <w:szCs w:val="24"/>
        </w:rPr>
        <w:t>Niveau de réalisation des projets organisationnels.</w:t>
      </w:r>
    </w:p>
    <w:p>
      <w:pPr>
        <w:pStyle w:val="Normal"/>
        <w:bidi w:val="0"/>
        <w:spacing w:lineRule="auto" w:line="240" w:before="240" w:after="240"/>
        <w:ind w:hanging="360" w:start="720"/>
        <w:jc w:val="start"/>
        <w:rPr>
          <w:sz w:val="24"/>
          <w:szCs w:val="24"/>
        </w:rPr>
      </w:pPr>
      <w:r>
        <w:rPr/>
        <mc:AlternateContent>
          <mc:Choice Requires="wps">
            <w:drawing>
              <wp:inline distT="0" distB="0" distL="0" distR="0">
                <wp:extent cx="5731510" cy="19050"/>
                <wp:effectExtent l="0" t="0" r="0" b="152400"/>
                <wp:docPr id="11" name="Shape5"/>
                <a:graphic xmlns:a="http://schemas.openxmlformats.org/drawingml/2006/main">
                  <a:graphicData uri="http://schemas.microsoft.com/office/word/2010/wordprocessingShape">
                    <wps:wsp>
                      <wps:cNvSpPr/>
                      <wps:spPr>
                        <a:xfrm>
                          <a:off x="0" y="0"/>
                          <a:ext cx="5731560" cy="19080"/>
                        </a:xfrm>
                        <a:prstGeom prst="rect">
                          <a:avLst/>
                        </a:prstGeom>
                        <a:solidFill>
                          <a:srgbClr val="a0a0a0"/>
                        </a:solidFill>
                        <a:ln w="0">
                          <a:noFill/>
                        </a:ln>
                      </wps:spPr>
                      <wps:style>
                        <a:lnRef idx="0"/>
                        <a:fillRef idx="0"/>
                        <a:effectRef idx="0"/>
                        <a:fontRef idx="minor"/>
                      </wps:style>
                      <wps:bodyPr/>
                    </wps:wsp>
                  </a:graphicData>
                </a:graphic>
              </wp:inline>
            </w:drawing>
          </mc:Choice>
          <mc:Fallback>
            <w:pict>
              <v:rect id="shape_0" ID="Shape5" path="m0,0l-2147483645,0l-2147483645,-2147483646l0,-2147483646xe" fillcolor="#a0a0a0" stroked="f" o:allowincell="f" style="position:absolute;margin-left:0pt;margin-top:-13.55pt;width:451.25pt;height:1.45pt;mso-wrap-style:none;v-text-anchor:middle;mso-position-vertical:top">
                <v:fill o:detectmouseclick="t" type="solid" color2="#5f5f5f"/>
                <v:stroke color="#3465a4" joinstyle="round" endcap="flat"/>
                <w10:wrap type="square"/>
              </v:rect>
            </w:pict>
          </mc:Fallback>
        </mc:AlternateContent>
      </w:r>
    </w:p>
    <w:p>
      <w:pPr>
        <w:pStyle w:val="Heading3"/>
        <w:bidi w:val="0"/>
        <w:jc w:val="start"/>
        <w:rPr/>
      </w:pPr>
      <w:bookmarkStart w:id="151" w:name="__RefHeading___Toc11653_3997879255"/>
      <w:bookmarkStart w:id="152" w:name="_Toc231401513"/>
      <w:bookmarkStart w:id="153" w:name="_yf4wk17gj00o"/>
      <w:bookmarkEnd w:id="151"/>
      <w:bookmarkEnd w:id="153"/>
      <w:r>
        <w:rPr/>
        <w:t>Orientation 6 – Développer les partenariats nationaux et internationaux</w:t>
      </w:r>
      <w:bookmarkEnd w:id="152"/>
    </w:p>
    <w:p>
      <w:pPr>
        <w:pStyle w:val="Normal"/>
        <w:bidi w:val="0"/>
        <w:jc w:val="start"/>
        <w:rPr>
          <w:b/>
          <w:bCs/>
        </w:rPr>
      </w:pPr>
      <w:bookmarkStart w:id="154" w:name="_ljs4ogpjbmpv"/>
      <w:bookmarkEnd w:id="154"/>
      <w:r>
        <w:rPr>
          <w:b/>
          <w:bCs/>
        </w:rPr>
        <w:t>Objectif</w:t>
      </w:r>
    </w:p>
    <w:p>
      <w:pPr>
        <w:pStyle w:val="Normal"/>
        <w:bidi w:val="0"/>
        <w:spacing w:lineRule="auto" w:line="240" w:before="240" w:after="240"/>
        <w:jc w:val="start"/>
        <w:rPr>
          <w:sz w:val="24"/>
          <w:szCs w:val="24"/>
        </w:rPr>
      </w:pPr>
      <w:r>
        <w:rPr>
          <w:sz w:val="24"/>
          <w:szCs w:val="24"/>
        </w:rPr>
        <w:t>Accroître l'influence du RAPLIQ au Québec, au Canada et à l'international.</w:t>
      </w:r>
    </w:p>
    <w:p>
      <w:pPr>
        <w:pStyle w:val="Normal"/>
        <w:bidi w:val="0"/>
        <w:jc w:val="start"/>
        <w:rPr>
          <w:b/>
          <w:bCs/>
        </w:rPr>
      </w:pPr>
      <w:bookmarkStart w:id="155" w:name="_1nug54boa64z"/>
      <w:bookmarkEnd w:id="155"/>
      <w:r>
        <w:rPr>
          <w:b/>
          <w:bCs/>
        </w:rPr>
        <w:t>Actions prévues</w:t>
      </w:r>
    </w:p>
    <w:p>
      <w:pPr>
        <w:pStyle w:val="Normal"/>
        <w:numPr>
          <w:ilvl w:val="0"/>
          <w:numId w:val="34"/>
        </w:numPr>
        <w:bidi w:val="0"/>
        <w:spacing w:lineRule="auto" w:line="240" w:before="240" w:after="0"/>
        <w:jc w:val="start"/>
        <w:rPr>
          <w:sz w:val="24"/>
          <w:szCs w:val="24"/>
        </w:rPr>
      </w:pPr>
      <w:r>
        <w:rPr>
          <w:sz w:val="24"/>
          <w:szCs w:val="24"/>
        </w:rPr>
        <w:t>Participer à des conférences et événements internationaux.</w:t>
      </w:r>
    </w:p>
    <w:p>
      <w:pPr>
        <w:pStyle w:val="Normal"/>
        <w:numPr>
          <w:ilvl w:val="0"/>
          <w:numId w:val="34"/>
        </w:numPr>
        <w:bidi w:val="0"/>
        <w:spacing w:lineRule="auto" w:line="240"/>
        <w:jc w:val="start"/>
        <w:rPr>
          <w:sz w:val="24"/>
          <w:szCs w:val="24"/>
        </w:rPr>
      </w:pPr>
      <w:r>
        <w:rPr>
          <w:sz w:val="24"/>
          <w:szCs w:val="24"/>
        </w:rPr>
        <w:t>Renforcer les collaborations avec les organismes de défense des droits.</w:t>
      </w:r>
    </w:p>
    <w:p>
      <w:pPr>
        <w:pStyle w:val="Normal"/>
        <w:numPr>
          <w:ilvl w:val="0"/>
          <w:numId w:val="34"/>
        </w:numPr>
        <w:bidi w:val="0"/>
        <w:spacing w:lineRule="auto" w:line="240"/>
        <w:jc w:val="start"/>
        <w:rPr>
          <w:sz w:val="24"/>
          <w:szCs w:val="24"/>
        </w:rPr>
      </w:pPr>
      <w:r>
        <w:rPr>
          <w:sz w:val="24"/>
          <w:szCs w:val="24"/>
        </w:rPr>
        <w:t>Développer des projets conjoints avec des partenaires stratégiques.</w:t>
      </w:r>
    </w:p>
    <w:p>
      <w:pPr>
        <w:pStyle w:val="Normal"/>
        <w:numPr>
          <w:ilvl w:val="0"/>
          <w:numId w:val="34"/>
        </w:numPr>
        <w:bidi w:val="0"/>
        <w:spacing w:lineRule="auto" w:line="240" w:before="0" w:after="240"/>
        <w:jc w:val="start"/>
        <w:rPr>
          <w:sz w:val="24"/>
          <w:szCs w:val="24"/>
        </w:rPr>
      </w:pPr>
      <w:r>
        <w:rPr>
          <w:sz w:val="24"/>
          <w:szCs w:val="24"/>
        </w:rPr>
        <w:t>Faire rayonner l'expertise québécoise en matière de défense des droits.</w:t>
      </w:r>
    </w:p>
    <w:p>
      <w:pPr>
        <w:pStyle w:val="Normal"/>
        <w:bidi w:val="0"/>
        <w:jc w:val="start"/>
        <w:rPr>
          <w:b/>
          <w:bCs/>
        </w:rPr>
      </w:pPr>
      <w:bookmarkStart w:id="156" w:name="_a3rgbmtpzf9w"/>
      <w:bookmarkEnd w:id="156"/>
      <w:r>
        <w:rPr>
          <w:b/>
          <w:bCs/>
        </w:rPr>
        <w:t>Indicateurs</w:t>
      </w:r>
    </w:p>
    <w:p>
      <w:pPr>
        <w:pStyle w:val="Normal"/>
        <w:numPr>
          <w:ilvl w:val="0"/>
          <w:numId w:val="35"/>
        </w:numPr>
        <w:bidi w:val="0"/>
        <w:spacing w:lineRule="auto" w:line="240" w:before="240" w:after="0"/>
        <w:jc w:val="start"/>
        <w:rPr>
          <w:sz w:val="24"/>
          <w:szCs w:val="24"/>
        </w:rPr>
      </w:pPr>
      <w:r>
        <w:rPr>
          <w:sz w:val="24"/>
          <w:szCs w:val="24"/>
        </w:rPr>
        <w:t>Nombre de partenariats actifs.</w:t>
      </w:r>
    </w:p>
    <w:p>
      <w:pPr>
        <w:pStyle w:val="Normal"/>
        <w:numPr>
          <w:ilvl w:val="0"/>
          <w:numId w:val="35"/>
        </w:numPr>
        <w:bidi w:val="0"/>
        <w:spacing w:lineRule="auto" w:line="240"/>
        <w:jc w:val="start"/>
        <w:rPr>
          <w:sz w:val="24"/>
          <w:szCs w:val="24"/>
        </w:rPr>
      </w:pPr>
      <w:r>
        <w:rPr>
          <w:sz w:val="24"/>
          <w:szCs w:val="24"/>
        </w:rPr>
        <w:t>Nombre d'événements auxquels le RAPLIQ participe.</w:t>
      </w:r>
    </w:p>
    <w:p>
      <w:pPr>
        <w:pStyle w:val="Normal"/>
        <w:numPr>
          <w:ilvl w:val="0"/>
          <w:numId w:val="35"/>
        </w:numPr>
        <w:bidi w:val="0"/>
        <w:spacing w:lineRule="auto" w:line="240" w:before="0" w:after="240"/>
        <w:jc w:val="start"/>
        <w:rPr>
          <w:sz w:val="24"/>
          <w:szCs w:val="24"/>
        </w:rPr>
      </w:pPr>
      <w:r>
        <w:rPr>
          <w:sz w:val="24"/>
          <w:szCs w:val="24"/>
        </w:rPr>
        <w:t>Nombre de projets collaboratifs réalisés.</w:t>
      </w:r>
    </w:p>
    <w:p>
      <w:pPr>
        <w:pStyle w:val="Normal"/>
        <w:bidi w:val="0"/>
        <w:jc w:val="start"/>
        <w:rPr>
          <w:shd w:fill="FFFF00" w:val="clear"/>
        </w:rPr>
      </w:pPr>
      <w:r>
        <w:rPr>
          <w:shd w:fill="FFFF00" w:val="clear"/>
        </w:rPr>
      </w:r>
    </w:p>
    <w:p>
      <w:pPr>
        <w:pStyle w:val="Normal"/>
        <w:bidi w:val="0"/>
        <w:jc w:val="start"/>
        <w:rPr/>
      </w:pPr>
      <w:r>
        <w:rPr/>
      </w:r>
    </w:p>
    <w:p>
      <w:pPr>
        <w:pStyle w:val="Normal"/>
        <w:bidi w:val="0"/>
        <w:spacing w:lineRule="auto" w:line="240"/>
        <w:jc w:val="start"/>
        <w:rPr>
          <w:color w:val="FF0000"/>
          <w:sz w:val="24"/>
          <w:szCs w:val="24"/>
          <w:shd w:fill="FFFF00" w:val="clear"/>
        </w:rPr>
      </w:pPr>
      <w:r>
        <w:rPr>
          <w:color w:val="FF0000"/>
          <w:sz w:val="24"/>
          <w:szCs w:val="24"/>
          <w:shd w:fill="FFFF00" w:val="clear"/>
        </w:rPr>
      </w:r>
      <w:r>
        <w:br w:type="page"/>
      </w:r>
    </w:p>
    <w:p>
      <w:pPr>
        <w:pStyle w:val="Heading1"/>
        <w:bidi w:val="0"/>
        <w:spacing w:lineRule="auto" w:line="240" w:before="0" w:after="172"/>
        <w:jc w:val="start"/>
        <w:rPr>
          <w:b/>
          <w:bCs/>
          <w:sz w:val="48"/>
          <w:szCs w:val="48"/>
        </w:rPr>
      </w:pPr>
      <w:bookmarkStart w:id="157" w:name="__RefHeading___Toc11655_3997879255"/>
      <w:bookmarkStart w:id="158" w:name="_Toc231401514"/>
      <w:bookmarkEnd w:id="157"/>
      <w:r>
        <w:rPr>
          <w:b/>
          <w:bCs/>
        </w:rPr>
        <w:t>États financiers</w:t>
      </w:r>
      <w:bookmarkEnd w:id="158"/>
    </w:p>
    <w:p>
      <w:pPr>
        <w:pStyle w:val="Normal"/>
        <w:bidi w:val="0"/>
        <w:jc w:val="start"/>
        <w:rPr/>
      </w:pPr>
      <w:bookmarkStart w:id="159" w:name="_8gy0gonj29ik"/>
      <w:bookmarkEnd w:id="159"/>
      <w:r>
        <w:rPr/>
        <w:drawing>
          <wp:inline distT="0" distB="0" distL="0" distR="0">
            <wp:extent cx="5731510" cy="7416800"/>
            <wp:effectExtent l="0" t="0" r="0" b="0"/>
            <wp:docPr id="12" name="image14.jpg"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jpg" descr="" title=""/>
                    <pic:cNvPicPr>
                      <a:picLocks noChangeAspect="1" noChangeArrowheads="1"/>
                    </pic:cNvPicPr>
                  </pic:nvPicPr>
                  <pic:blipFill>
                    <a:blip r:embed="rId14"/>
                    <a:stretch>
                      <a:fillRect/>
                    </a:stretch>
                  </pic:blipFill>
                  <pic:spPr bwMode="auto">
                    <a:xfrm>
                      <a:off x="0" y="0"/>
                      <a:ext cx="5731510" cy="7416800"/>
                    </a:xfrm>
                    <a:prstGeom prst="rect">
                      <a:avLst/>
                    </a:prstGeom>
                  </pic:spPr>
                </pic:pic>
              </a:graphicData>
            </a:graphic>
          </wp:inline>
        </w:drawing>
      </w:r>
    </w:p>
    <w:p>
      <w:pPr>
        <w:pStyle w:val="Normal"/>
        <w:bidi w:val="0"/>
        <w:jc w:val="start"/>
        <w:rPr/>
      </w:pPr>
      <w:r>
        <w:rPr/>
      </w:r>
      <w:bookmarkStart w:id="160" w:name="_9hcr9dcerhx3"/>
      <w:bookmarkStart w:id="161" w:name="_9hcr9dcerhx3"/>
      <w:bookmarkEnd w:id="161"/>
    </w:p>
    <w:p>
      <w:pPr>
        <w:pStyle w:val="Normal"/>
        <w:bidi w:val="0"/>
        <w:jc w:val="start"/>
        <w:rPr/>
      </w:pPr>
      <w:r>
        <w:rPr/>
      </w:r>
      <w:bookmarkStart w:id="162" w:name="_xszsk0qmj0y7"/>
      <w:bookmarkStart w:id="163" w:name="_xszsk0qmj0y7"/>
      <w:bookmarkEnd w:id="163"/>
    </w:p>
    <w:p>
      <w:pPr>
        <w:pStyle w:val="Normal"/>
        <w:bidi w:val="0"/>
        <w:jc w:val="start"/>
        <w:rPr/>
      </w:pPr>
      <w:bookmarkStart w:id="164" w:name="_bf4u8uz5nexb"/>
      <w:bookmarkEnd w:id="164"/>
      <w:r>
        <w:rPr/>
        <w:drawing>
          <wp:inline distT="0" distB="0" distL="0" distR="0">
            <wp:extent cx="5731510" cy="7416800"/>
            <wp:effectExtent l="0" t="0" r="0" b="0"/>
            <wp:docPr id="13" name="image11.jpg"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1.jpg" descr="" title=""/>
                    <pic:cNvPicPr>
                      <a:picLocks noChangeAspect="1" noChangeArrowheads="1"/>
                    </pic:cNvPicPr>
                  </pic:nvPicPr>
                  <pic:blipFill>
                    <a:blip r:embed="rId15"/>
                    <a:stretch>
                      <a:fillRect/>
                    </a:stretch>
                  </pic:blipFill>
                  <pic:spPr bwMode="auto">
                    <a:xfrm>
                      <a:off x="0" y="0"/>
                      <a:ext cx="5731510" cy="7416800"/>
                    </a:xfrm>
                    <a:prstGeom prst="rect">
                      <a:avLst/>
                    </a:prstGeom>
                  </pic:spPr>
                </pic:pic>
              </a:graphicData>
            </a:graphic>
          </wp:inline>
        </w:drawing>
      </w:r>
    </w:p>
    <w:p>
      <w:pPr>
        <w:pStyle w:val="Normal"/>
        <w:bidi w:val="0"/>
        <w:jc w:val="start"/>
        <w:rPr/>
      </w:pPr>
      <w:r>
        <w:rPr/>
      </w:r>
      <w:bookmarkStart w:id="165" w:name="_f9u7ygbsnun5"/>
      <w:bookmarkStart w:id="166" w:name="_f9u7ygbsnun5"/>
      <w:bookmarkEnd w:id="166"/>
    </w:p>
    <w:p>
      <w:pPr>
        <w:pStyle w:val="Normal"/>
        <w:bidi w:val="0"/>
        <w:jc w:val="start"/>
        <w:rPr/>
      </w:pPr>
      <w:r>
        <w:rPr/>
      </w:r>
      <w:bookmarkStart w:id="167" w:name="_rf0h83hw23s9"/>
      <w:bookmarkStart w:id="168" w:name="_rf0h83hw23s9"/>
      <w:bookmarkEnd w:id="168"/>
    </w:p>
    <w:p>
      <w:pPr>
        <w:pStyle w:val="Normal"/>
        <w:bidi w:val="0"/>
        <w:jc w:val="start"/>
        <w:rPr/>
      </w:pPr>
      <w:r>
        <w:rPr/>
      </w:r>
      <w:bookmarkStart w:id="169" w:name="_cjuzr9ra6761"/>
      <w:bookmarkStart w:id="170" w:name="_cjuzr9ra6761"/>
      <w:bookmarkEnd w:id="170"/>
    </w:p>
    <w:p>
      <w:pPr>
        <w:pStyle w:val="Normal"/>
        <w:bidi w:val="0"/>
        <w:jc w:val="start"/>
        <w:rPr/>
      </w:pPr>
      <w:bookmarkStart w:id="171" w:name="_lre6rxetdsi"/>
      <w:bookmarkEnd w:id="171"/>
      <w:r>
        <w:rPr/>
        <w:drawing>
          <wp:inline distT="0" distB="0" distL="0" distR="0">
            <wp:extent cx="5731510" cy="7404100"/>
            <wp:effectExtent l="0" t="0" r="0" b="0"/>
            <wp:docPr id="14" name="image16.jpg"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6.jpg" descr="" title=""/>
                    <pic:cNvPicPr>
                      <a:picLocks noChangeAspect="1" noChangeArrowheads="1"/>
                    </pic:cNvPicPr>
                  </pic:nvPicPr>
                  <pic:blipFill>
                    <a:blip r:embed="rId16"/>
                    <a:stretch>
                      <a:fillRect/>
                    </a:stretch>
                  </pic:blipFill>
                  <pic:spPr bwMode="auto">
                    <a:xfrm>
                      <a:off x="0" y="0"/>
                      <a:ext cx="5731510" cy="7404100"/>
                    </a:xfrm>
                    <a:prstGeom prst="rect">
                      <a:avLst/>
                    </a:prstGeom>
                  </pic:spPr>
                </pic:pic>
              </a:graphicData>
            </a:graphic>
          </wp:inline>
        </w:drawing>
      </w:r>
    </w:p>
    <w:p>
      <w:pPr>
        <w:pStyle w:val="Normal"/>
        <w:bidi w:val="0"/>
        <w:jc w:val="start"/>
        <w:rPr/>
      </w:pPr>
      <w:bookmarkStart w:id="172" w:name="_x8qn2y809izu"/>
      <w:bookmarkEnd w:id="172"/>
      <w:r>
        <w:rPr/>
        <w:drawing>
          <wp:inline distT="0" distB="0" distL="0" distR="0">
            <wp:extent cx="5731510" cy="7404100"/>
            <wp:effectExtent l="0" t="0" r="0" b="0"/>
            <wp:docPr id="15" name="image15.jpg"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5.jpg" descr="" title=""/>
                    <pic:cNvPicPr>
                      <a:picLocks noChangeAspect="1" noChangeArrowheads="1"/>
                    </pic:cNvPicPr>
                  </pic:nvPicPr>
                  <pic:blipFill>
                    <a:blip r:embed="rId17"/>
                    <a:stretch>
                      <a:fillRect/>
                    </a:stretch>
                  </pic:blipFill>
                  <pic:spPr bwMode="auto">
                    <a:xfrm>
                      <a:off x="0" y="0"/>
                      <a:ext cx="5731510" cy="7404100"/>
                    </a:xfrm>
                    <a:prstGeom prst="rect">
                      <a:avLst/>
                    </a:prstGeom>
                  </pic:spPr>
                </pic:pic>
              </a:graphicData>
            </a:graphic>
          </wp:inline>
        </w:drawing>
      </w:r>
    </w:p>
    <w:p>
      <w:pPr>
        <w:pStyle w:val="Normal"/>
        <w:bidi w:val="0"/>
        <w:jc w:val="start"/>
        <w:rPr/>
      </w:pPr>
      <w:r>
        <w:rPr/>
      </w:r>
      <w:bookmarkStart w:id="173" w:name="_mnvbphqizevm"/>
      <w:bookmarkStart w:id="174" w:name="_mnvbphqizevm"/>
      <w:bookmarkEnd w:id="174"/>
    </w:p>
    <w:p>
      <w:pPr>
        <w:pStyle w:val="Normal"/>
        <w:bidi w:val="0"/>
        <w:jc w:val="start"/>
        <w:rPr/>
      </w:pPr>
      <w:r>
        <w:rPr/>
      </w:r>
      <w:bookmarkStart w:id="175" w:name="_beuf5zli3jxl"/>
      <w:bookmarkStart w:id="176" w:name="_beuf5zli3jxl"/>
      <w:bookmarkEnd w:id="176"/>
    </w:p>
    <w:p>
      <w:pPr>
        <w:pStyle w:val="Normal"/>
        <w:bidi w:val="0"/>
        <w:jc w:val="start"/>
        <w:rPr>
          <w:sz w:val="32"/>
          <w:szCs w:val="32"/>
        </w:rPr>
      </w:pPr>
      <w:bookmarkStart w:id="177" w:name="_hznqg46idrsd"/>
      <w:bookmarkEnd w:id="177"/>
      <w:r>
        <w:rPr/>
        <w:drawing>
          <wp:inline distT="0" distB="0" distL="0" distR="0">
            <wp:extent cx="5731510" cy="7404100"/>
            <wp:effectExtent l="0" t="0" r="0" b="0"/>
            <wp:docPr id="16" name="image10.jpg"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g" descr="" title=""/>
                    <pic:cNvPicPr>
                      <a:picLocks noChangeAspect="1" noChangeArrowheads="1"/>
                    </pic:cNvPicPr>
                  </pic:nvPicPr>
                  <pic:blipFill>
                    <a:blip r:embed="rId18"/>
                    <a:stretch>
                      <a:fillRect/>
                    </a:stretch>
                  </pic:blipFill>
                  <pic:spPr bwMode="auto">
                    <a:xfrm>
                      <a:off x="0" y="0"/>
                      <a:ext cx="5731510" cy="7404100"/>
                    </a:xfrm>
                    <a:prstGeom prst="rect">
                      <a:avLst/>
                    </a:prstGeom>
                  </pic:spPr>
                </pic:pic>
              </a:graphicData>
            </a:graphic>
          </wp:inline>
        </w:drawing>
      </w:r>
    </w:p>
    <w:p>
      <w:pPr>
        <w:pStyle w:val="Normal"/>
        <w:bidi w:val="0"/>
        <w:jc w:val="start"/>
        <w:rPr/>
      </w:pPr>
      <w:bookmarkStart w:id="178" w:name="_ugrkvsabbjvg"/>
      <w:bookmarkEnd w:id="178"/>
      <w:r>
        <w:rPr/>
        <w:drawing>
          <wp:inline distT="0" distB="0" distL="0" distR="0">
            <wp:extent cx="5731510" cy="7404100"/>
            <wp:effectExtent l="0" t="0" r="0" b="0"/>
            <wp:docPr id="17" name="image8.jpg"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8.jpg" descr="" title=""/>
                    <pic:cNvPicPr>
                      <a:picLocks noChangeAspect="1" noChangeArrowheads="1"/>
                    </pic:cNvPicPr>
                  </pic:nvPicPr>
                  <pic:blipFill>
                    <a:blip r:embed="rId19"/>
                    <a:stretch>
                      <a:fillRect/>
                    </a:stretch>
                  </pic:blipFill>
                  <pic:spPr bwMode="auto">
                    <a:xfrm>
                      <a:off x="0" y="0"/>
                      <a:ext cx="5731510" cy="7404100"/>
                    </a:xfrm>
                    <a:prstGeom prst="rect">
                      <a:avLst/>
                    </a:prstGeom>
                  </pic:spPr>
                </pic:pic>
              </a:graphicData>
            </a:graphic>
          </wp:inline>
        </w:drawing>
      </w:r>
      <w:r>
        <w:rPr/>
        <w:drawing>
          <wp:inline distT="0" distB="0" distL="0" distR="0">
            <wp:extent cx="5731510" cy="7416800"/>
            <wp:effectExtent l="0" t="0" r="0" b="0"/>
            <wp:docPr id="18" name="image7.jpg"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jpg" descr="" title=""/>
                    <pic:cNvPicPr>
                      <a:picLocks noChangeAspect="1" noChangeArrowheads="1"/>
                    </pic:cNvPicPr>
                  </pic:nvPicPr>
                  <pic:blipFill>
                    <a:blip r:embed="rId20"/>
                    <a:stretch>
                      <a:fillRect/>
                    </a:stretch>
                  </pic:blipFill>
                  <pic:spPr bwMode="auto">
                    <a:xfrm>
                      <a:off x="0" y="0"/>
                      <a:ext cx="5731510" cy="7416800"/>
                    </a:xfrm>
                    <a:prstGeom prst="rect">
                      <a:avLst/>
                    </a:prstGeom>
                  </pic:spPr>
                </pic:pic>
              </a:graphicData>
            </a:graphic>
          </wp:inline>
        </w:drawing>
      </w:r>
      <w:r>
        <w:rPr/>
        <w:drawing>
          <wp:inline distT="0" distB="0" distL="0" distR="0">
            <wp:extent cx="5731510" cy="7404100"/>
            <wp:effectExtent l="0" t="0" r="0" b="0"/>
            <wp:docPr id="19" name="image13.jpg"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3.jpg" descr="" title=""/>
                    <pic:cNvPicPr>
                      <a:picLocks noChangeAspect="1" noChangeArrowheads="1"/>
                    </pic:cNvPicPr>
                  </pic:nvPicPr>
                  <pic:blipFill>
                    <a:blip r:embed="rId21"/>
                    <a:stretch>
                      <a:fillRect/>
                    </a:stretch>
                  </pic:blipFill>
                  <pic:spPr bwMode="auto">
                    <a:xfrm>
                      <a:off x="0" y="0"/>
                      <a:ext cx="5731510" cy="7404100"/>
                    </a:xfrm>
                    <a:prstGeom prst="rect">
                      <a:avLst/>
                    </a:prstGeom>
                  </pic:spPr>
                </pic:pic>
              </a:graphicData>
            </a:graphic>
          </wp:inline>
        </w:drawing>
      </w:r>
      <w:r>
        <w:rPr/>
        <w:drawing>
          <wp:inline distT="0" distB="0" distL="0" distR="0">
            <wp:extent cx="5731510" cy="7416800"/>
            <wp:effectExtent l="0" t="0" r="0" b="0"/>
            <wp:docPr id="20" name="image12.jpg"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g" descr="" title=""/>
                    <pic:cNvPicPr>
                      <a:picLocks noChangeAspect="1" noChangeArrowheads="1"/>
                    </pic:cNvPicPr>
                  </pic:nvPicPr>
                  <pic:blipFill>
                    <a:blip r:embed="rId22"/>
                    <a:stretch>
                      <a:fillRect/>
                    </a:stretch>
                  </pic:blipFill>
                  <pic:spPr bwMode="auto">
                    <a:xfrm>
                      <a:off x="0" y="0"/>
                      <a:ext cx="5731510" cy="7416800"/>
                    </a:xfrm>
                    <a:prstGeom prst="rect">
                      <a:avLst/>
                    </a:prstGeom>
                  </pic:spPr>
                </pic:pic>
              </a:graphicData>
            </a:graphic>
          </wp:inline>
        </w:drawing>
      </w:r>
      <w:r>
        <w:rPr/>
        <w:drawing>
          <wp:inline distT="0" distB="0" distL="0" distR="0">
            <wp:extent cx="5731510" cy="7429500"/>
            <wp:effectExtent l="0" t="0" r="0" b="0"/>
            <wp:docPr id="21" name="image9.jpg"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9.jpg" descr="" title=""/>
                    <pic:cNvPicPr>
                      <a:picLocks noChangeAspect="1" noChangeArrowheads="1"/>
                    </pic:cNvPicPr>
                  </pic:nvPicPr>
                  <pic:blipFill>
                    <a:blip r:embed="rId23"/>
                    <a:stretch>
                      <a:fillRect/>
                    </a:stretch>
                  </pic:blipFill>
                  <pic:spPr bwMode="auto">
                    <a:xfrm>
                      <a:off x="0" y="0"/>
                      <a:ext cx="5731510" cy="7429500"/>
                    </a:xfrm>
                    <a:prstGeom prst="rect">
                      <a:avLst/>
                    </a:prstGeom>
                  </pic:spPr>
                </pic:pic>
              </a:graphicData>
            </a:graphic>
          </wp:inline>
        </w:drawing>
      </w:r>
    </w:p>
    <w:p>
      <w:pPr>
        <w:pStyle w:val="Normal"/>
        <w:bidi w:val="0"/>
        <w:jc w:val="start"/>
        <w:rPr>
          <w:color w:val="FF0000"/>
        </w:rPr>
      </w:pPr>
      <w:r>
        <w:rPr>
          <w:color w:val="FF0000"/>
        </w:rPr>
      </w:r>
    </w:p>
    <w:p>
      <w:pPr>
        <w:pStyle w:val="Normal"/>
        <w:bidi w:val="0"/>
        <w:jc w:val="start"/>
        <w:rPr>
          <w:color w:val="FF0000"/>
        </w:rPr>
      </w:pPr>
      <w:r>
        <w:rPr>
          <w:color w:val="FF0000"/>
        </w:rPr>
      </w:r>
    </w:p>
    <w:p>
      <w:pPr>
        <w:pStyle w:val="Normal"/>
        <w:bidi w:val="0"/>
        <w:jc w:val="start"/>
        <w:rPr>
          <w:color w:val="FF0000"/>
        </w:rPr>
      </w:pPr>
      <w:r>
        <w:rPr>
          <w:color w:val="FF0000"/>
        </w:rPr>
      </w:r>
    </w:p>
    <w:p>
      <w:pPr>
        <w:pStyle w:val="Normal"/>
        <w:bidi w:val="0"/>
        <w:jc w:val="start"/>
        <w:rPr>
          <w:color w:val="FF0000"/>
        </w:rPr>
      </w:pPr>
      <w:r>
        <w:rPr>
          <w:color w:val="FF0000"/>
        </w:rPr>
      </w:r>
    </w:p>
    <w:p>
      <w:pPr>
        <w:pStyle w:val="Normal"/>
        <w:bidi w:val="0"/>
        <w:jc w:val="start"/>
        <w:rPr>
          <w:color w:val="FF0000"/>
        </w:rPr>
      </w:pPr>
      <w:r>
        <w:rPr>
          <w:color w:val="FF0000"/>
        </w:rPr>
      </w:r>
    </w:p>
    <w:p>
      <w:pPr>
        <w:pStyle w:val="Normal"/>
        <w:bidi w:val="0"/>
        <w:jc w:val="start"/>
        <w:rPr>
          <w:color w:val="FF0000"/>
        </w:rPr>
      </w:pPr>
      <w:r>
        <w:rPr>
          <w:color w:val="FF0000"/>
        </w:rPr>
      </w:r>
    </w:p>
    <w:p>
      <w:pPr>
        <w:pStyle w:val="Heading1"/>
        <w:bidi w:val="0"/>
        <w:jc w:val="start"/>
        <w:rPr>
          <w:b/>
          <w:bCs/>
        </w:rPr>
      </w:pPr>
      <w:bookmarkStart w:id="179" w:name="__RefHeading___Toc11657_3997879255"/>
      <w:bookmarkStart w:id="180" w:name="_Toc231401515"/>
      <w:bookmarkEnd w:id="179"/>
      <w:r>
        <w:rPr>
          <w:b/>
          <w:bCs/>
        </w:rPr>
        <w:t>Prévisions budgétaires</w:t>
      </w:r>
      <w:bookmarkEnd w:id="180"/>
    </w:p>
    <w:p>
      <w:pPr>
        <w:pStyle w:val="Normal"/>
        <w:bidi w:val="0"/>
        <w:jc w:val="start"/>
        <w:rPr>
          <w:color w:val="FF0000"/>
        </w:rPr>
      </w:pPr>
      <w:r>
        <w:rPr>
          <w:color w:val="FF0000"/>
        </w:rPr>
      </w:r>
    </w:p>
    <w:tbl>
      <w:tblPr>
        <w:tblW w:w="7291" w:type="dxa"/>
        <w:jc w:val="start"/>
        <w:tblInd w:w="-30" w:type="dxa"/>
        <w:tblLayout w:type="fixed"/>
        <w:tblCellMar>
          <w:top w:w="0" w:type="dxa"/>
          <w:start w:w="30" w:type="dxa"/>
          <w:bottom w:w="0" w:type="dxa"/>
          <w:end w:w="30" w:type="dxa"/>
        </w:tblCellMar>
      </w:tblPr>
      <w:tblGrid>
        <w:gridCol w:w="4285"/>
        <w:gridCol w:w="3006"/>
      </w:tblGrid>
      <w:tr>
        <w:trPr>
          <w:trHeight w:val="589" w:hRule="atLeast"/>
        </w:trPr>
        <w:tc>
          <w:tcPr>
            <w:tcW w:w="4285" w:type="dxa"/>
            <w:tcBorders/>
            <w:vAlign w:val="bottom"/>
          </w:tcPr>
          <w:p>
            <w:pPr>
              <w:pStyle w:val="Normal"/>
              <w:tabs>
                <w:tab w:val="clear" w:pos="709"/>
              </w:tabs>
              <w:bidi w:val="0"/>
              <w:jc w:val="start"/>
              <w:rPr>
                <w:color w:val="C9211E"/>
                <w:shd w:fill="auto" w:val="clear"/>
              </w:rPr>
            </w:pPr>
            <w:r>
              <w:rPr>
                <w:b/>
                <w:color w:val="C9211E"/>
                <w:sz w:val="32"/>
                <w:szCs w:val="32"/>
                <w:shd w:fill="auto" w:val="clear"/>
              </w:rPr>
              <w:t>Postes de revenus</w:t>
            </w:r>
          </w:p>
        </w:tc>
        <w:tc>
          <w:tcPr>
            <w:tcW w:w="3006" w:type="dxa"/>
            <w:tcBorders/>
            <w:vAlign w:val="bottom"/>
          </w:tcPr>
          <w:p>
            <w:pPr>
              <w:pStyle w:val="Normal"/>
              <w:tabs>
                <w:tab w:val="clear" w:pos="709"/>
              </w:tabs>
              <w:bidi w:val="0"/>
              <w:jc w:val="center"/>
              <w:rPr>
                <w:color w:val="C9211E"/>
                <w:shd w:fill="auto" w:val="clear"/>
              </w:rPr>
            </w:pPr>
            <w:r>
              <w:rPr>
                <w:b/>
                <w:color w:val="C9211E"/>
                <w:shd w:fill="auto" w:val="clear"/>
              </w:rPr>
              <w:t>Prévisions 202</w:t>
            </w:r>
            <w:r>
              <w:rPr>
                <w:b/>
                <w:color w:val="C9211E"/>
                <w:shd w:fill="auto" w:val="clear"/>
              </w:rPr>
              <w:t>6</w:t>
            </w:r>
            <w:r>
              <w:rPr>
                <w:b/>
                <w:color w:val="C9211E"/>
                <w:shd w:fill="auto" w:val="clear"/>
              </w:rPr>
              <w:t>-202</w:t>
            </w:r>
            <w:r>
              <w:rPr>
                <w:b/>
                <w:color w:val="C9211E"/>
                <w:shd w:fill="auto" w:val="clear"/>
              </w:rPr>
              <w:t>7</w:t>
            </w:r>
          </w:p>
        </w:tc>
      </w:tr>
      <w:tr>
        <w:trPr>
          <w:trHeight w:val="402" w:hRule="atLeast"/>
        </w:trPr>
        <w:tc>
          <w:tcPr>
            <w:tcW w:w="4285" w:type="dxa"/>
            <w:tcBorders/>
            <w:vAlign w:val="bottom"/>
          </w:tcPr>
          <w:p>
            <w:pPr>
              <w:pStyle w:val="Normal"/>
              <w:tabs>
                <w:tab w:val="clear" w:pos="709"/>
              </w:tabs>
              <w:bidi w:val="0"/>
              <w:jc w:val="start"/>
              <w:rPr/>
            </w:pPr>
            <w:r>
              <w:rPr/>
              <w:t>Subventions</w:t>
            </w:r>
          </w:p>
        </w:tc>
        <w:tc>
          <w:tcPr>
            <w:tcW w:w="3006" w:type="dxa"/>
            <w:tcBorders/>
            <w:vAlign w:val="bottom"/>
          </w:tcPr>
          <w:p>
            <w:pPr>
              <w:pStyle w:val="Normal"/>
              <w:tabs>
                <w:tab w:val="clear" w:pos="709"/>
              </w:tabs>
              <w:bidi w:val="0"/>
              <w:jc w:val="end"/>
              <w:rPr/>
            </w:pPr>
            <w:r>
              <w:rPr/>
              <w:t>218760,00</w:t>
            </w:r>
          </w:p>
        </w:tc>
      </w:tr>
      <w:tr>
        <w:trPr>
          <w:trHeight w:val="402" w:hRule="atLeast"/>
        </w:trPr>
        <w:tc>
          <w:tcPr>
            <w:tcW w:w="4285" w:type="dxa"/>
            <w:tcBorders/>
            <w:vAlign w:val="bottom"/>
          </w:tcPr>
          <w:p>
            <w:pPr>
              <w:pStyle w:val="Normal"/>
              <w:tabs>
                <w:tab w:val="clear" w:pos="709"/>
              </w:tabs>
              <w:bidi w:val="0"/>
              <w:jc w:val="start"/>
              <w:rPr/>
            </w:pPr>
            <w:r>
              <w:rPr/>
              <w:t>Redevances / autofinacement</w:t>
            </w:r>
          </w:p>
        </w:tc>
        <w:tc>
          <w:tcPr>
            <w:tcW w:w="3006" w:type="dxa"/>
            <w:tcBorders/>
            <w:vAlign w:val="bottom"/>
          </w:tcPr>
          <w:p>
            <w:pPr>
              <w:pStyle w:val="Normal"/>
              <w:tabs>
                <w:tab w:val="clear" w:pos="709"/>
              </w:tabs>
              <w:bidi w:val="0"/>
              <w:jc w:val="end"/>
              <w:rPr/>
            </w:pPr>
            <w:r>
              <w:rPr/>
              <w:t>28250,00</w:t>
            </w:r>
          </w:p>
        </w:tc>
      </w:tr>
      <w:tr>
        <w:trPr>
          <w:trHeight w:val="402" w:hRule="atLeast"/>
        </w:trPr>
        <w:tc>
          <w:tcPr>
            <w:tcW w:w="4285" w:type="dxa"/>
            <w:tcBorders/>
            <w:vAlign w:val="bottom"/>
          </w:tcPr>
          <w:p>
            <w:pPr>
              <w:pStyle w:val="Normal"/>
              <w:tabs>
                <w:tab w:val="clear" w:pos="709"/>
              </w:tabs>
              <w:bidi w:val="0"/>
              <w:jc w:val="start"/>
              <w:rPr/>
            </w:pPr>
            <w:r>
              <w:rPr/>
              <w:t>Cotisation des membres</w:t>
            </w:r>
          </w:p>
        </w:tc>
        <w:tc>
          <w:tcPr>
            <w:tcW w:w="3006" w:type="dxa"/>
            <w:tcBorders/>
            <w:vAlign w:val="bottom"/>
          </w:tcPr>
          <w:p>
            <w:pPr>
              <w:pStyle w:val="Normal"/>
              <w:tabs>
                <w:tab w:val="clear" w:pos="709"/>
              </w:tabs>
              <w:bidi w:val="0"/>
              <w:jc w:val="end"/>
              <w:rPr/>
            </w:pPr>
            <w:r>
              <w:rPr/>
              <w:t>1000,00</w:t>
            </w:r>
          </w:p>
        </w:tc>
      </w:tr>
      <w:tr>
        <w:trPr>
          <w:trHeight w:val="589" w:hRule="atLeast"/>
        </w:trPr>
        <w:tc>
          <w:tcPr>
            <w:tcW w:w="4285" w:type="dxa"/>
            <w:tcBorders/>
            <w:vAlign w:val="bottom"/>
          </w:tcPr>
          <w:p>
            <w:pPr>
              <w:pStyle w:val="Normal"/>
              <w:tabs>
                <w:tab w:val="clear" w:pos="709"/>
              </w:tabs>
              <w:bidi w:val="0"/>
              <w:jc w:val="start"/>
              <w:rPr/>
            </w:pPr>
            <w:r>
              <w:rPr/>
              <w:t>Discrétionnaires ministres et député-es</w:t>
            </w:r>
          </w:p>
        </w:tc>
        <w:tc>
          <w:tcPr>
            <w:tcW w:w="3006" w:type="dxa"/>
            <w:tcBorders/>
            <w:vAlign w:val="bottom"/>
          </w:tcPr>
          <w:p>
            <w:pPr>
              <w:pStyle w:val="Normal"/>
              <w:tabs>
                <w:tab w:val="clear" w:pos="709"/>
              </w:tabs>
              <w:bidi w:val="0"/>
              <w:jc w:val="end"/>
              <w:rPr/>
            </w:pPr>
            <w:r>
              <w:rPr/>
              <w:t>5000,00</w:t>
            </w:r>
          </w:p>
        </w:tc>
      </w:tr>
      <w:tr>
        <w:trPr>
          <w:trHeight w:val="402" w:hRule="atLeast"/>
        </w:trPr>
        <w:tc>
          <w:tcPr>
            <w:tcW w:w="4285" w:type="dxa"/>
            <w:tcBorders/>
            <w:vAlign w:val="bottom"/>
          </w:tcPr>
          <w:p>
            <w:pPr>
              <w:pStyle w:val="Normal"/>
              <w:tabs>
                <w:tab w:val="clear" w:pos="709"/>
              </w:tabs>
              <w:bidi w:val="0"/>
              <w:jc w:val="start"/>
              <w:rPr/>
            </w:pPr>
            <w:r>
              <w:rPr/>
              <w:t>Dons</w:t>
            </w:r>
          </w:p>
        </w:tc>
        <w:tc>
          <w:tcPr>
            <w:tcW w:w="3006" w:type="dxa"/>
            <w:tcBorders/>
            <w:vAlign w:val="bottom"/>
          </w:tcPr>
          <w:p>
            <w:pPr>
              <w:pStyle w:val="Normal"/>
              <w:tabs>
                <w:tab w:val="clear" w:pos="709"/>
              </w:tabs>
              <w:bidi w:val="0"/>
              <w:jc w:val="end"/>
              <w:rPr/>
            </w:pPr>
            <w:r>
              <w:rPr/>
              <w:t>1000,00</w:t>
            </w:r>
          </w:p>
        </w:tc>
      </w:tr>
      <w:tr>
        <w:trPr>
          <w:trHeight w:val="402" w:hRule="atLeast"/>
        </w:trPr>
        <w:tc>
          <w:tcPr>
            <w:tcW w:w="4285" w:type="dxa"/>
            <w:tcBorders/>
            <w:vAlign w:val="bottom"/>
          </w:tcPr>
          <w:p>
            <w:pPr>
              <w:pStyle w:val="Normal"/>
              <w:tabs>
                <w:tab w:val="clear" w:pos="709"/>
              </w:tabs>
              <w:bidi w:val="0"/>
              <w:jc w:val="start"/>
              <w:rPr/>
            </w:pPr>
            <w:r>
              <w:rPr/>
              <w:t>Commandites</w:t>
            </w:r>
          </w:p>
        </w:tc>
        <w:tc>
          <w:tcPr>
            <w:tcW w:w="3006" w:type="dxa"/>
            <w:tcBorders/>
            <w:vAlign w:val="bottom"/>
          </w:tcPr>
          <w:p>
            <w:pPr>
              <w:pStyle w:val="Normal"/>
              <w:tabs>
                <w:tab w:val="clear" w:pos="709"/>
              </w:tabs>
              <w:bidi w:val="0"/>
              <w:jc w:val="end"/>
              <w:rPr/>
            </w:pPr>
            <w:r>
              <w:rPr/>
              <w:t>1000,00</w:t>
            </w:r>
          </w:p>
        </w:tc>
      </w:tr>
      <w:tr>
        <w:trPr>
          <w:trHeight w:val="402" w:hRule="atLeast"/>
        </w:trPr>
        <w:tc>
          <w:tcPr>
            <w:tcW w:w="4285" w:type="dxa"/>
            <w:tcBorders/>
          </w:tcPr>
          <w:p>
            <w:pPr>
              <w:pStyle w:val="Normal"/>
              <w:tabs>
                <w:tab w:val="clear" w:pos="709"/>
              </w:tabs>
              <w:bidi w:val="0"/>
              <w:jc w:val="start"/>
              <w:rPr>
                <w:rFonts w:ascii="Helvetica Neue" w:hAnsi="Helvetica Neue"/>
              </w:rPr>
            </w:pPr>
            <w:r>
              <w:rPr>
                <w:rFonts w:ascii="Helvetica Neue" w:hAnsi="Helvetica Neue"/>
              </w:rPr>
              <w:t>Formation, colloques</w:t>
            </w:r>
          </w:p>
        </w:tc>
        <w:tc>
          <w:tcPr>
            <w:tcW w:w="3006" w:type="dxa"/>
            <w:tcBorders/>
            <w:vAlign w:val="bottom"/>
          </w:tcPr>
          <w:p>
            <w:pPr>
              <w:pStyle w:val="Normal"/>
              <w:tabs>
                <w:tab w:val="clear" w:pos="709"/>
              </w:tabs>
              <w:bidi w:val="0"/>
              <w:jc w:val="end"/>
              <w:rPr/>
            </w:pPr>
            <w:r>
              <w:rPr/>
              <w:t>2000,00</w:t>
            </w:r>
          </w:p>
        </w:tc>
      </w:tr>
      <w:tr>
        <w:trPr>
          <w:trHeight w:val="402" w:hRule="atLeast"/>
        </w:trPr>
        <w:tc>
          <w:tcPr>
            <w:tcW w:w="4285" w:type="dxa"/>
            <w:tcBorders/>
            <w:vAlign w:val="bottom"/>
          </w:tcPr>
          <w:p>
            <w:pPr>
              <w:pStyle w:val="Normal"/>
              <w:tabs>
                <w:tab w:val="clear" w:pos="709"/>
              </w:tabs>
              <w:bidi w:val="0"/>
              <w:jc w:val="start"/>
              <w:rPr/>
            </w:pPr>
            <w:r>
              <w:rPr/>
              <w:t>Intérêts</w:t>
            </w:r>
          </w:p>
        </w:tc>
        <w:tc>
          <w:tcPr>
            <w:tcW w:w="3006" w:type="dxa"/>
            <w:tcBorders/>
            <w:vAlign w:val="bottom"/>
          </w:tcPr>
          <w:p>
            <w:pPr>
              <w:pStyle w:val="Normal"/>
              <w:tabs>
                <w:tab w:val="clear" w:pos="709"/>
              </w:tabs>
              <w:bidi w:val="0"/>
              <w:jc w:val="end"/>
              <w:rPr/>
            </w:pPr>
            <w:r>
              <w:rPr/>
              <w:t>1100,00</w:t>
            </w:r>
          </w:p>
        </w:tc>
      </w:tr>
      <w:tr>
        <w:trPr>
          <w:trHeight w:val="402" w:hRule="atLeast"/>
        </w:trPr>
        <w:tc>
          <w:tcPr>
            <w:tcW w:w="4285" w:type="dxa"/>
            <w:tcBorders/>
            <w:vAlign w:val="bottom"/>
          </w:tcPr>
          <w:p>
            <w:pPr>
              <w:pStyle w:val="Normal"/>
              <w:tabs>
                <w:tab w:val="clear" w:pos="709"/>
              </w:tabs>
              <w:bidi w:val="0"/>
              <w:jc w:val="start"/>
              <w:rPr>
                <w:b/>
              </w:rPr>
            </w:pPr>
            <w:r>
              <w:rPr>
                <w:b/>
              </w:rPr>
              <w:t>Total des revenus</w:t>
            </w:r>
          </w:p>
        </w:tc>
        <w:tc>
          <w:tcPr>
            <w:tcW w:w="3006" w:type="dxa"/>
            <w:tcBorders/>
            <w:vAlign w:val="bottom"/>
          </w:tcPr>
          <w:p>
            <w:pPr>
              <w:pStyle w:val="Normal"/>
              <w:tabs>
                <w:tab w:val="clear" w:pos="709"/>
              </w:tabs>
              <w:bidi w:val="0"/>
              <w:jc w:val="end"/>
              <w:rPr>
                <w:b/>
              </w:rPr>
            </w:pPr>
            <w:r>
              <w:rPr>
                <w:b/>
              </w:rPr>
              <w:t>258110,00</w:t>
            </w:r>
          </w:p>
        </w:tc>
      </w:tr>
      <w:tr>
        <w:trPr>
          <w:trHeight w:val="589" w:hRule="atLeast"/>
        </w:trPr>
        <w:tc>
          <w:tcPr>
            <w:tcW w:w="4285" w:type="dxa"/>
            <w:tcBorders/>
            <w:vAlign w:val="bottom"/>
          </w:tcPr>
          <w:p>
            <w:pPr>
              <w:pStyle w:val="Normal"/>
              <w:tabs>
                <w:tab w:val="clear" w:pos="709"/>
              </w:tabs>
              <w:bidi w:val="0"/>
              <w:jc w:val="start"/>
              <w:rPr>
                <w:color w:val="C9211E"/>
              </w:rPr>
            </w:pPr>
            <w:r>
              <w:rPr>
                <w:color w:val="C9211E"/>
              </w:rPr>
              <w:t>Dépenses</w:t>
            </w:r>
          </w:p>
        </w:tc>
        <w:tc>
          <w:tcPr>
            <w:tcW w:w="3006" w:type="dxa"/>
            <w:tcBorders/>
            <w:vAlign w:val="bottom"/>
          </w:tcPr>
          <w:p>
            <w:pPr>
              <w:pStyle w:val="Normal"/>
              <w:tabs>
                <w:tab w:val="clear" w:pos="709"/>
              </w:tabs>
              <w:bidi w:val="0"/>
              <w:jc w:val="center"/>
              <w:rPr>
                <w:color w:val="C9211E"/>
              </w:rPr>
            </w:pPr>
            <w:r>
              <w:rPr>
                <w:b/>
                <w:color w:val="C9211E"/>
              </w:rPr>
              <w:t>Prévisions 202</w:t>
            </w:r>
            <w:r>
              <w:rPr>
                <w:b/>
                <w:color w:val="C9211E"/>
              </w:rPr>
              <w:t>6</w:t>
            </w:r>
            <w:r>
              <w:rPr>
                <w:b/>
                <w:color w:val="C9211E"/>
              </w:rPr>
              <w:t>-202</w:t>
            </w:r>
            <w:r>
              <w:rPr>
                <w:b/>
                <w:color w:val="C9211E"/>
              </w:rPr>
              <w:t>7</w:t>
            </w:r>
          </w:p>
        </w:tc>
      </w:tr>
      <w:tr>
        <w:trPr>
          <w:trHeight w:val="402" w:hRule="atLeast"/>
        </w:trPr>
        <w:tc>
          <w:tcPr>
            <w:tcW w:w="4285" w:type="dxa"/>
            <w:tcBorders/>
            <w:vAlign w:val="bottom"/>
          </w:tcPr>
          <w:p>
            <w:pPr>
              <w:pStyle w:val="Normal"/>
              <w:tabs>
                <w:tab w:val="clear" w:pos="709"/>
              </w:tabs>
              <w:bidi w:val="0"/>
              <w:jc w:val="start"/>
              <w:rPr/>
            </w:pPr>
            <w:r>
              <w:rPr/>
              <w:t>Salaires et charges sociales</w:t>
            </w:r>
          </w:p>
        </w:tc>
        <w:tc>
          <w:tcPr>
            <w:tcW w:w="3006" w:type="dxa"/>
            <w:tcBorders/>
            <w:vAlign w:val="bottom"/>
          </w:tcPr>
          <w:p>
            <w:pPr>
              <w:pStyle w:val="Normal"/>
              <w:tabs>
                <w:tab w:val="clear" w:pos="709"/>
              </w:tabs>
              <w:bidi w:val="0"/>
              <w:jc w:val="end"/>
              <w:rPr/>
            </w:pPr>
            <w:r>
              <w:rPr/>
              <w:t>175 254,00</w:t>
            </w:r>
          </w:p>
        </w:tc>
      </w:tr>
      <w:tr>
        <w:trPr>
          <w:trHeight w:val="402" w:hRule="atLeast"/>
        </w:trPr>
        <w:tc>
          <w:tcPr>
            <w:tcW w:w="4285" w:type="dxa"/>
            <w:tcBorders/>
            <w:vAlign w:val="bottom"/>
          </w:tcPr>
          <w:p>
            <w:pPr>
              <w:pStyle w:val="Normal"/>
              <w:tabs>
                <w:tab w:val="clear" w:pos="709"/>
              </w:tabs>
              <w:bidi w:val="0"/>
              <w:jc w:val="start"/>
              <w:rPr/>
            </w:pPr>
            <w:r>
              <w:rPr/>
              <w:t>Frais de services de paies</w:t>
            </w:r>
          </w:p>
        </w:tc>
        <w:tc>
          <w:tcPr>
            <w:tcW w:w="3006" w:type="dxa"/>
            <w:tcBorders/>
            <w:vAlign w:val="bottom"/>
          </w:tcPr>
          <w:p>
            <w:pPr>
              <w:pStyle w:val="Normal"/>
              <w:tabs>
                <w:tab w:val="clear" w:pos="709"/>
              </w:tabs>
              <w:bidi w:val="0"/>
              <w:jc w:val="end"/>
              <w:rPr/>
            </w:pPr>
            <w:r>
              <w:rPr/>
              <w:t>1600,00</w:t>
            </w:r>
          </w:p>
        </w:tc>
      </w:tr>
      <w:tr>
        <w:trPr>
          <w:trHeight w:val="402" w:hRule="atLeast"/>
        </w:trPr>
        <w:tc>
          <w:tcPr>
            <w:tcW w:w="4285" w:type="dxa"/>
            <w:tcBorders/>
            <w:vAlign w:val="bottom"/>
          </w:tcPr>
          <w:p>
            <w:pPr>
              <w:pStyle w:val="Normal"/>
              <w:tabs>
                <w:tab w:val="clear" w:pos="709"/>
              </w:tabs>
              <w:bidi w:val="0"/>
              <w:jc w:val="start"/>
              <w:rPr/>
            </w:pPr>
            <w:r>
              <w:rPr/>
              <w:t>Service de messagerie et postes</w:t>
            </w:r>
          </w:p>
        </w:tc>
        <w:tc>
          <w:tcPr>
            <w:tcW w:w="3006" w:type="dxa"/>
            <w:tcBorders/>
            <w:vAlign w:val="bottom"/>
          </w:tcPr>
          <w:p>
            <w:pPr>
              <w:pStyle w:val="Normal"/>
              <w:tabs>
                <w:tab w:val="clear" w:pos="709"/>
              </w:tabs>
              <w:bidi w:val="0"/>
              <w:jc w:val="end"/>
              <w:rPr/>
            </w:pPr>
            <w:r>
              <w:rPr/>
              <w:t>3000,00</w:t>
            </w:r>
          </w:p>
        </w:tc>
      </w:tr>
      <w:tr>
        <w:trPr>
          <w:trHeight w:val="402" w:hRule="atLeast"/>
        </w:trPr>
        <w:tc>
          <w:tcPr>
            <w:tcW w:w="4285" w:type="dxa"/>
            <w:tcBorders/>
            <w:vAlign w:val="bottom"/>
          </w:tcPr>
          <w:p>
            <w:pPr>
              <w:pStyle w:val="Normal"/>
              <w:tabs>
                <w:tab w:val="clear" w:pos="709"/>
              </w:tabs>
              <w:bidi w:val="0"/>
              <w:jc w:val="start"/>
              <w:rPr/>
            </w:pPr>
            <w:r>
              <w:rPr/>
              <w:t>Fourniture de bureau</w:t>
            </w:r>
          </w:p>
        </w:tc>
        <w:tc>
          <w:tcPr>
            <w:tcW w:w="3006" w:type="dxa"/>
            <w:tcBorders/>
            <w:vAlign w:val="bottom"/>
          </w:tcPr>
          <w:p>
            <w:pPr>
              <w:pStyle w:val="Normal"/>
              <w:tabs>
                <w:tab w:val="clear" w:pos="709"/>
              </w:tabs>
              <w:bidi w:val="0"/>
              <w:jc w:val="end"/>
              <w:rPr/>
            </w:pPr>
            <w:r>
              <w:rPr/>
              <w:t>4000,00</w:t>
            </w:r>
          </w:p>
        </w:tc>
      </w:tr>
      <w:tr>
        <w:trPr>
          <w:trHeight w:val="402" w:hRule="atLeast"/>
        </w:trPr>
        <w:tc>
          <w:tcPr>
            <w:tcW w:w="4285" w:type="dxa"/>
            <w:tcBorders/>
            <w:vAlign w:val="bottom"/>
          </w:tcPr>
          <w:p>
            <w:pPr>
              <w:pStyle w:val="Normal"/>
              <w:tabs>
                <w:tab w:val="clear" w:pos="709"/>
              </w:tabs>
              <w:bidi w:val="0"/>
              <w:jc w:val="start"/>
              <w:rPr/>
            </w:pPr>
            <w:r>
              <w:rPr/>
              <w:t>Frais de bureau et administration</w:t>
            </w:r>
          </w:p>
        </w:tc>
        <w:tc>
          <w:tcPr>
            <w:tcW w:w="3006" w:type="dxa"/>
            <w:tcBorders/>
            <w:vAlign w:val="bottom"/>
          </w:tcPr>
          <w:p>
            <w:pPr>
              <w:pStyle w:val="Normal"/>
              <w:tabs>
                <w:tab w:val="clear" w:pos="709"/>
              </w:tabs>
              <w:bidi w:val="0"/>
              <w:jc w:val="end"/>
              <w:rPr/>
            </w:pPr>
            <w:r>
              <w:rPr/>
              <w:t>4500,00</w:t>
            </w:r>
          </w:p>
        </w:tc>
      </w:tr>
      <w:tr>
        <w:trPr>
          <w:trHeight w:val="402" w:hRule="atLeast"/>
        </w:trPr>
        <w:tc>
          <w:tcPr>
            <w:tcW w:w="4285" w:type="dxa"/>
            <w:tcBorders/>
            <w:vAlign w:val="bottom"/>
          </w:tcPr>
          <w:p>
            <w:pPr>
              <w:pStyle w:val="Normal"/>
              <w:tabs>
                <w:tab w:val="clear" w:pos="709"/>
              </w:tabs>
              <w:bidi w:val="0"/>
              <w:jc w:val="start"/>
              <w:rPr/>
            </w:pPr>
            <w:r>
              <w:rPr/>
              <w:t>Honoraires professionnels</w:t>
            </w:r>
          </w:p>
        </w:tc>
        <w:tc>
          <w:tcPr>
            <w:tcW w:w="3006" w:type="dxa"/>
            <w:tcBorders/>
            <w:vAlign w:val="bottom"/>
          </w:tcPr>
          <w:p>
            <w:pPr>
              <w:pStyle w:val="Normal"/>
              <w:tabs>
                <w:tab w:val="clear" w:pos="709"/>
              </w:tabs>
              <w:bidi w:val="0"/>
              <w:jc w:val="end"/>
              <w:rPr/>
            </w:pPr>
            <w:r>
              <w:rPr/>
              <w:t>3700,00</w:t>
            </w:r>
          </w:p>
        </w:tc>
      </w:tr>
      <w:tr>
        <w:trPr>
          <w:trHeight w:val="402" w:hRule="atLeast"/>
        </w:trPr>
        <w:tc>
          <w:tcPr>
            <w:tcW w:w="4285" w:type="dxa"/>
            <w:tcBorders/>
            <w:vAlign w:val="bottom"/>
          </w:tcPr>
          <w:p>
            <w:pPr>
              <w:pStyle w:val="Normal"/>
              <w:tabs>
                <w:tab w:val="clear" w:pos="709"/>
              </w:tabs>
              <w:bidi w:val="0"/>
              <w:jc w:val="start"/>
              <w:rPr/>
            </w:pPr>
            <w:r>
              <w:rPr/>
              <w:t>Frais comptables</w:t>
            </w:r>
          </w:p>
        </w:tc>
        <w:tc>
          <w:tcPr>
            <w:tcW w:w="3006" w:type="dxa"/>
            <w:tcBorders/>
            <w:vAlign w:val="bottom"/>
          </w:tcPr>
          <w:p>
            <w:pPr>
              <w:pStyle w:val="Normal"/>
              <w:tabs>
                <w:tab w:val="clear" w:pos="709"/>
              </w:tabs>
              <w:bidi w:val="0"/>
              <w:jc w:val="end"/>
              <w:rPr/>
            </w:pPr>
            <w:r>
              <w:rPr/>
              <w:t>1000,00</w:t>
            </w:r>
          </w:p>
        </w:tc>
      </w:tr>
      <w:tr>
        <w:trPr>
          <w:trHeight w:val="402" w:hRule="atLeast"/>
        </w:trPr>
        <w:tc>
          <w:tcPr>
            <w:tcW w:w="4285" w:type="dxa"/>
            <w:tcBorders/>
            <w:vAlign w:val="bottom"/>
          </w:tcPr>
          <w:p>
            <w:pPr>
              <w:pStyle w:val="Normal"/>
              <w:tabs>
                <w:tab w:val="clear" w:pos="709"/>
              </w:tabs>
              <w:bidi w:val="0"/>
              <w:jc w:val="start"/>
              <w:rPr/>
            </w:pPr>
            <w:r>
              <w:rPr/>
              <w:t>Frais avocats et huissiers</w:t>
            </w:r>
          </w:p>
        </w:tc>
        <w:tc>
          <w:tcPr>
            <w:tcW w:w="3006" w:type="dxa"/>
            <w:tcBorders/>
            <w:vAlign w:val="bottom"/>
          </w:tcPr>
          <w:p>
            <w:pPr>
              <w:pStyle w:val="Normal"/>
              <w:tabs>
                <w:tab w:val="clear" w:pos="709"/>
              </w:tabs>
              <w:bidi w:val="0"/>
              <w:jc w:val="end"/>
              <w:rPr/>
            </w:pPr>
            <w:r>
              <w:rPr/>
              <w:t>20000,00</w:t>
            </w:r>
          </w:p>
        </w:tc>
      </w:tr>
      <w:tr>
        <w:trPr>
          <w:trHeight w:val="402" w:hRule="atLeast"/>
        </w:trPr>
        <w:tc>
          <w:tcPr>
            <w:tcW w:w="4285" w:type="dxa"/>
            <w:tcBorders/>
            <w:vAlign w:val="bottom"/>
          </w:tcPr>
          <w:p>
            <w:pPr>
              <w:pStyle w:val="Normal"/>
              <w:tabs>
                <w:tab w:val="clear" w:pos="709"/>
              </w:tabs>
              <w:bidi w:val="0"/>
              <w:jc w:val="start"/>
              <w:rPr/>
            </w:pPr>
            <w:r>
              <w:rPr/>
              <w:t>Frais informatique</w:t>
            </w:r>
          </w:p>
        </w:tc>
        <w:tc>
          <w:tcPr>
            <w:tcW w:w="3006" w:type="dxa"/>
            <w:tcBorders/>
            <w:vAlign w:val="bottom"/>
          </w:tcPr>
          <w:p>
            <w:pPr>
              <w:pStyle w:val="Normal"/>
              <w:tabs>
                <w:tab w:val="clear" w:pos="709"/>
              </w:tabs>
              <w:bidi w:val="0"/>
              <w:jc w:val="end"/>
              <w:rPr/>
            </w:pPr>
            <w:r>
              <w:rPr/>
              <w:t>1600,00</w:t>
            </w:r>
          </w:p>
        </w:tc>
      </w:tr>
      <w:tr>
        <w:trPr>
          <w:trHeight w:val="402" w:hRule="atLeast"/>
        </w:trPr>
        <w:tc>
          <w:tcPr>
            <w:tcW w:w="4285" w:type="dxa"/>
            <w:tcBorders/>
            <w:vAlign w:val="bottom"/>
          </w:tcPr>
          <w:p>
            <w:pPr>
              <w:pStyle w:val="Normal"/>
              <w:tabs>
                <w:tab w:val="clear" w:pos="709"/>
              </w:tabs>
              <w:bidi w:val="0"/>
              <w:jc w:val="start"/>
              <w:rPr/>
            </w:pPr>
            <w:r>
              <w:rPr/>
              <w:t>Site web</w:t>
            </w:r>
          </w:p>
        </w:tc>
        <w:tc>
          <w:tcPr>
            <w:tcW w:w="3006" w:type="dxa"/>
            <w:tcBorders/>
            <w:vAlign w:val="bottom"/>
          </w:tcPr>
          <w:p>
            <w:pPr>
              <w:pStyle w:val="Normal"/>
              <w:tabs>
                <w:tab w:val="clear" w:pos="709"/>
              </w:tabs>
              <w:bidi w:val="0"/>
              <w:jc w:val="end"/>
              <w:rPr/>
            </w:pPr>
            <w:r>
              <w:rPr/>
              <w:t>1100,00</w:t>
            </w:r>
          </w:p>
        </w:tc>
      </w:tr>
      <w:tr>
        <w:trPr>
          <w:trHeight w:val="402" w:hRule="atLeast"/>
        </w:trPr>
        <w:tc>
          <w:tcPr>
            <w:tcW w:w="4285" w:type="dxa"/>
            <w:tcBorders/>
            <w:vAlign w:val="bottom"/>
          </w:tcPr>
          <w:p>
            <w:pPr>
              <w:pStyle w:val="Normal"/>
              <w:tabs>
                <w:tab w:val="clear" w:pos="709"/>
              </w:tabs>
              <w:bidi w:val="0"/>
              <w:jc w:val="start"/>
              <w:rPr/>
            </w:pPr>
            <w:r>
              <w:rPr/>
              <w:t>Médias et communiqués de presse</w:t>
            </w:r>
          </w:p>
        </w:tc>
        <w:tc>
          <w:tcPr>
            <w:tcW w:w="3006" w:type="dxa"/>
            <w:tcBorders/>
            <w:vAlign w:val="bottom"/>
          </w:tcPr>
          <w:p>
            <w:pPr>
              <w:pStyle w:val="Normal"/>
              <w:tabs>
                <w:tab w:val="clear" w:pos="709"/>
              </w:tabs>
              <w:bidi w:val="0"/>
              <w:jc w:val="end"/>
              <w:rPr/>
            </w:pPr>
            <w:r>
              <w:rPr/>
              <w:t>0,00</w:t>
            </w:r>
          </w:p>
        </w:tc>
      </w:tr>
      <w:tr>
        <w:trPr>
          <w:trHeight w:val="402" w:hRule="atLeast"/>
        </w:trPr>
        <w:tc>
          <w:tcPr>
            <w:tcW w:w="4285" w:type="dxa"/>
            <w:tcBorders/>
            <w:vAlign w:val="bottom"/>
          </w:tcPr>
          <w:p>
            <w:pPr>
              <w:pStyle w:val="Normal"/>
              <w:tabs>
                <w:tab w:val="clear" w:pos="709"/>
              </w:tabs>
              <w:bidi w:val="0"/>
              <w:jc w:val="start"/>
              <w:rPr/>
            </w:pPr>
            <w:r>
              <w:rPr/>
              <w:t>Publicité et promotion</w:t>
            </w:r>
          </w:p>
        </w:tc>
        <w:tc>
          <w:tcPr>
            <w:tcW w:w="3006" w:type="dxa"/>
            <w:tcBorders/>
            <w:vAlign w:val="bottom"/>
          </w:tcPr>
          <w:p>
            <w:pPr>
              <w:pStyle w:val="Normal"/>
              <w:tabs>
                <w:tab w:val="clear" w:pos="709"/>
              </w:tabs>
              <w:bidi w:val="0"/>
              <w:jc w:val="end"/>
              <w:rPr/>
            </w:pPr>
            <w:r>
              <w:rPr/>
              <w:t>5000,00</w:t>
            </w:r>
          </w:p>
        </w:tc>
      </w:tr>
      <w:tr>
        <w:trPr>
          <w:trHeight w:val="402" w:hRule="atLeast"/>
        </w:trPr>
        <w:tc>
          <w:tcPr>
            <w:tcW w:w="4285" w:type="dxa"/>
            <w:tcBorders/>
            <w:vAlign w:val="bottom"/>
          </w:tcPr>
          <w:p>
            <w:pPr>
              <w:pStyle w:val="Normal"/>
              <w:tabs>
                <w:tab w:val="clear" w:pos="709"/>
              </w:tabs>
              <w:bidi w:val="0"/>
              <w:jc w:val="start"/>
              <w:rPr/>
            </w:pPr>
            <w:r>
              <w:rPr/>
              <w:t>Intérêts et frais bancaires</w:t>
            </w:r>
          </w:p>
        </w:tc>
        <w:tc>
          <w:tcPr>
            <w:tcW w:w="3006" w:type="dxa"/>
            <w:tcBorders/>
            <w:vAlign w:val="bottom"/>
          </w:tcPr>
          <w:p>
            <w:pPr>
              <w:pStyle w:val="Normal"/>
              <w:tabs>
                <w:tab w:val="clear" w:pos="709"/>
              </w:tabs>
              <w:bidi w:val="0"/>
              <w:jc w:val="end"/>
              <w:rPr/>
            </w:pPr>
            <w:r>
              <w:rPr/>
              <w:t>500,00</w:t>
            </w:r>
          </w:p>
        </w:tc>
      </w:tr>
      <w:tr>
        <w:trPr>
          <w:trHeight w:val="402" w:hRule="atLeast"/>
        </w:trPr>
        <w:tc>
          <w:tcPr>
            <w:tcW w:w="4285" w:type="dxa"/>
            <w:tcBorders/>
            <w:vAlign w:val="bottom"/>
          </w:tcPr>
          <w:p>
            <w:pPr>
              <w:pStyle w:val="Normal"/>
              <w:tabs>
                <w:tab w:val="clear" w:pos="709"/>
              </w:tabs>
              <w:bidi w:val="0"/>
              <w:jc w:val="start"/>
              <w:rPr/>
            </w:pPr>
            <w:r>
              <w:rPr/>
              <w:t>Frais carte de crédit</w:t>
            </w:r>
          </w:p>
        </w:tc>
        <w:tc>
          <w:tcPr>
            <w:tcW w:w="3006" w:type="dxa"/>
            <w:tcBorders/>
            <w:vAlign w:val="bottom"/>
          </w:tcPr>
          <w:p>
            <w:pPr>
              <w:pStyle w:val="Normal"/>
              <w:tabs>
                <w:tab w:val="clear" w:pos="709"/>
              </w:tabs>
              <w:bidi w:val="0"/>
              <w:jc w:val="end"/>
              <w:rPr/>
            </w:pPr>
            <w:r>
              <w:rPr/>
              <w:t>200,00</w:t>
            </w:r>
          </w:p>
        </w:tc>
      </w:tr>
      <w:tr>
        <w:trPr>
          <w:trHeight w:val="402" w:hRule="atLeast"/>
        </w:trPr>
        <w:tc>
          <w:tcPr>
            <w:tcW w:w="4285" w:type="dxa"/>
            <w:tcBorders/>
            <w:vAlign w:val="bottom"/>
          </w:tcPr>
          <w:p>
            <w:pPr>
              <w:pStyle w:val="Normal"/>
              <w:tabs>
                <w:tab w:val="clear" w:pos="709"/>
              </w:tabs>
              <w:bidi w:val="0"/>
              <w:jc w:val="start"/>
              <w:rPr/>
            </w:pPr>
            <w:r>
              <w:rPr/>
              <w:t>Télécommunication et Internet</w:t>
            </w:r>
          </w:p>
        </w:tc>
        <w:tc>
          <w:tcPr>
            <w:tcW w:w="3006" w:type="dxa"/>
            <w:tcBorders/>
            <w:vAlign w:val="bottom"/>
          </w:tcPr>
          <w:p>
            <w:pPr>
              <w:pStyle w:val="Normal"/>
              <w:tabs>
                <w:tab w:val="clear" w:pos="709"/>
              </w:tabs>
              <w:bidi w:val="0"/>
              <w:jc w:val="end"/>
              <w:rPr/>
            </w:pPr>
            <w:r>
              <w:rPr/>
              <w:t>3200,00</w:t>
            </w:r>
          </w:p>
        </w:tc>
      </w:tr>
      <w:tr>
        <w:trPr>
          <w:trHeight w:val="402" w:hRule="atLeast"/>
        </w:trPr>
        <w:tc>
          <w:tcPr>
            <w:tcW w:w="4285" w:type="dxa"/>
            <w:tcBorders/>
            <w:vAlign w:val="bottom"/>
          </w:tcPr>
          <w:p>
            <w:pPr>
              <w:pStyle w:val="Normal"/>
              <w:tabs>
                <w:tab w:val="clear" w:pos="709"/>
              </w:tabs>
              <w:bidi w:val="0"/>
              <w:jc w:val="start"/>
              <w:rPr/>
            </w:pPr>
            <w:r>
              <w:rPr/>
              <w:t>Assurances</w:t>
            </w:r>
          </w:p>
        </w:tc>
        <w:tc>
          <w:tcPr>
            <w:tcW w:w="3006" w:type="dxa"/>
            <w:tcBorders/>
            <w:vAlign w:val="bottom"/>
          </w:tcPr>
          <w:p>
            <w:pPr>
              <w:pStyle w:val="Normal"/>
              <w:tabs>
                <w:tab w:val="clear" w:pos="709"/>
              </w:tabs>
              <w:bidi w:val="0"/>
              <w:jc w:val="end"/>
              <w:rPr/>
            </w:pPr>
            <w:r>
              <w:rPr/>
              <w:t>1450,00</w:t>
            </w:r>
          </w:p>
        </w:tc>
      </w:tr>
      <w:tr>
        <w:trPr>
          <w:trHeight w:val="402" w:hRule="atLeast"/>
        </w:trPr>
        <w:tc>
          <w:tcPr>
            <w:tcW w:w="4285" w:type="dxa"/>
            <w:tcBorders/>
            <w:vAlign w:val="bottom"/>
          </w:tcPr>
          <w:p>
            <w:pPr>
              <w:pStyle w:val="Normal"/>
              <w:tabs>
                <w:tab w:val="clear" w:pos="709"/>
              </w:tabs>
              <w:bidi w:val="0"/>
              <w:jc w:val="start"/>
              <w:rPr/>
            </w:pPr>
            <w:r>
              <w:rPr/>
              <w:t>Frais et licence d'affaires</w:t>
            </w:r>
          </w:p>
        </w:tc>
        <w:tc>
          <w:tcPr>
            <w:tcW w:w="3006" w:type="dxa"/>
            <w:tcBorders/>
            <w:vAlign w:val="bottom"/>
          </w:tcPr>
          <w:p>
            <w:pPr>
              <w:pStyle w:val="Normal"/>
              <w:tabs>
                <w:tab w:val="clear" w:pos="709"/>
              </w:tabs>
              <w:bidi w:val="0"/>
              <w:jc w:val="end"/>
              <w:rPr/>
            </w:pPr>
            <w:r>
              <w:rPr/>
              <w:t>359,00</w:t>
            </w:r>
          </w:p>
        </w:tc>
      </w:tr>
      <w:tr>
        <w:trPr>
          <w:trHeight w:val="402" w:hRule="atLeast"/>
        </w:trPr>
        <w:tc>
          <w:tcPr>
            <w:tcW w:w="4285" w:type="dxa"/>
            <w:tcBorders/>
            <w:vAlign w:val="bottom"/>
          </w:tcPr>
          <w:p>
            <w:pPr>
              <w:pStyle w:val="Normal"/>
              <w:tabs>
                <w:tab w:val="clear" w:pos="709"/>
              </w:tabs>
              <w:bidi w:val="0"/>
              <w:jc w:val="start"/>
              <w:rPr/>
            </w:pPr>
            <w:r>
              <w:rPr/>
              <w:t>Taxes et permis</w:t>
            </w:r>
          </w:p>
        </w:tc>
        <w:tc>
          <w:tcPr>
            <w:tcW w:w="3006" w:type="dxa"/>
            <w:tcBorders/>
            <w:vAlign w:val="bottom"/>
          </w:tcPr>
          <w:p>
            <w:pPr>
              <w:pStyle w:val="Normal"/>
              <w:tabs>
                <w:tab w:val="clear" w:pos="709"/>
              </w:tabs>
              <w:bidi w:val="0"/>
              <w:jc w:val="end"/>
              <w:rPr/>
            </w:pPr>
            <w:r>
              <w:rPr/>
              <w:t>380,00</w:t>
            </w:r>
          </w:p>
        </w:tc>
      </w:tr>
      <w:tr>
        <w:trPr>
          <w:trHeight w:val="402" w:hRule="atLeast"/>
        </w:trPr>
        <w:tc>
          <w:tcPr>
            <w:tcW w:w="4285" w:type="dxa"/>
            <w:tcBorders/>
            <w:vAlign w:val="bottom"/>
          </w:tcPr>
          <w:p>
            <w:pPr>
              <w:pStyle w:val="Normal"/>
              <w:tabs>
                <w:tab w:val="clear" w:pos="709"/>
              </w:tabs>
              <w:bidi w:val="0"/>
              <w:jc w:val="start"/>
              <w:rPr/>
            </w:pPr>
            <w:r>
              <w:rPr/>
              <w:t>Cotisations et abonnements</w:t>
            </w:r>
          </w:p>
        </w:tc>
        <w:tc>
          <w:tcPr>
            <w:tcW w:w="3006" w:type="dxa"/>
            <w:tcBorders/>
            <w:vAlign w:val="bottom"/>
          </w:tcPr>
          <w:p>
            <w:pPr>
              <w:pStyle w:val="Normal"/>
              <w:tabs>
                <w:tab w:val="clear" w:pos="709"/>
              </w:tabs>
              <w:bidi w:val="0"/>
              <w:jc w:val="end"/>
              <w:rPr/>
            </w:pPr>
            <w:r>
              <w:rPr/>
              <w:t>900,00</w:t>
            </w:r>
          </w:p>
        </w:tc>
      </w:tr>
      <w:tr>
        <w:trPr>
          <w:trHeight w:val="402" w:hRule="atLeast"/>
        </w:trPr>
        <w:tc>
          <w:tcPr>
            <w:tcW w:w="4285" w:type="dxa"/>
            <w:tcBorders/>
            <w:vAlign w:val="bottom"/>
          </w:tcPr>
          <w:p>
            <w:pPr>
              <w:pStyle w:val="Normal"/>
              <w:tabs>
                <w:tab w:val="clear" w:pos="709"/>
              </w:tabs>
              <w:bidi w:val="0"/>
              <w:jc w:val="start"/>
              <w:rPr/>
            </w:pPr>
            <w:r>
              <w:rPr/>
              <w:t>Vie associative et activité</w:t>
            </w:r>
          </w:p>
        </w:tc>
        <w:tc>
          <w:tcPr>
            <w:tcW w:w="3006" w:type="dxa"/>
            <w:tcBorders/>
            <w:vAlign w:val="bottom"/>
          </w:tcPr>
          <w:p>
            <w:pPr>
              <w:pStyle w:val="Normal"/>
              <w:tabs>
                <w:tab w:val="clear" w:pos="709"/>
              </w:tabs>
              <w:bidi w:val="0"/>
              <w:jc w:val="end"/>
              <w:rPr/>
            </w:pPr>
            <w:r>
              <w:rPr/>
              <w:t>5000,00</w:t>
            </w:r>
          </w:p>
        </w:tc>
      </w:tr>
      <w:tr>
        <w:trPr>
          <w:trHeight w:val="402" w:hRule="atLeast"/>
        </w:trPr>
        <w:tc>
          <w:tcPr>
            <w:tcW w:w="4285" w:type="dxa"/>
            <w:tcBorders/>
            <w:vAlign w:val="bottom"/>
          </w:tcPr>
          <w:p>
            <w:pPr>
              <w:pStyle w:val="Normal"/>
              <w:tabs>
                <w:tab w:val="clear" w:pos="709"/>
              </w:tabs>
              <w:bidi w:val="0"/>
              <w:jc w:val="start"/>
              <w:rPr/>
            </w:pPr>
            <w:r>
              <w:rPr/>
              <w:t>Dons (In memoriam et autres)</w:t>
            </w:r>
          </w:p>
        </w:tc>
        <w:tc>
          <w:tcPr>
            <w:tcW w:w="3006" w:type="dxa"/>
            <w:tcBorders/>
            <w:vAlign w:val="bottom"/>
          </w:tcPr>
          <w:p>
            <w:pPr>
              <w:pStyle w:val="Normal"/>
              <w:tabs>
                <w:tab w:val="clear" w:pos="709"/>
              </w:tabs>
              <w:bidi w:val="0"/>
              <w:jc w:val="end"/>
              <w:rPr/>
            </w:pPr>
            <w:r>
              <w:rPr/>
              <w:t>500,00</w:t>
            </w:r>
          </w:p>
        </w:tc>
      </w:tr>
      <w:tr>
        <w:trPr>
          <w:trHeight w:val="402" w:hRule="atLeast"/>
        </w:trPr>
        <w:tc>
          <w:tcPr>
            <w:tcW w:w="4285" w:type="dxa"/>
            <w:tcBorders/>
            <w:vAlign w:val="bottom"/>
          </w:tcPr>
          <w:p>
            <w:pPr>
              <w:pStyle w:val="Normal"/>
              <w:tabs>
                <w:tab w:val="clear" w:pos="709"/>
              </w:tabs>
              <w:bidi w:val="0"/>
              <w:jc w:val="start"/>
              <w:rPr/>
            </w:pPr>
            <w:r>
              <w:rPr/>
              <w:t>Courtoisies</w:t>
            </w:r>
          </w:p>
        </w:tc>
        <w:tc>
          <w:tcPr>
            <w:tcW w:w="3006" w:type="dxa"/>
            <w:tcBorders/>
            <w:vAlign w:val="bottom"/>
          </w:tcPr>
          <w:p>
            <w:pPr>
              <w:pStyle w:val="Normal"/>
              <w:tabs>
                <w:tab w:val="clear" w:pos="709"/>
              </w:tabs>
              <w:bidi w:val="0"/>
              <w:jc w:val="end"/>
              <w:rPr/>
            </w:pPr>
            <w:r>
              <w:rPr/>
              <w:t>500,00</w:t>
            </w:r>
          </w:p>
        </w:tc>
      </w:tr>
      <w:tr>
        <w:trPr>
          <w:trHeight w:val="402" w:hRule="atLeast"/>
        </w:trPr>
        <w:tc>
          <w:tcPr>
            <w:tcW w:w="4285" w:type="dxa"/>
            <w:tcBorders/>
            <w:vAlign w:val="bottom"/>
          </w:tcPr>
          <w:p>
            <w:pPr>
              <w:pStyle w:val="Normal"/>
              <w:tabs>
                <w:tab w:val="clear" w:pos="709"/>
              </w:tabs>
              <w:bidi w:val="0"/>
              <w:jc w:val="start"/>
              <w:rPr/>
            </w:pPr>
            <w:r>
              <w:rPr/>
              <w:t>Formations, colloques et activités</w:t>
            </w:r>
          </w:p>
        </w:tc>
        <w:tc>
          <w:tcPr>
            <w:tcW w:w="3006" w:type="dxa"/>
            <w:tcBorders/>
            <w:vAlign w:val="bottom"/>
          </w:tcPr>
          <w:p>
            <w:pPr>
              <w:pStyle w:val="Normal"/>
              <w:tabs>
                <w:tab w:val="clear" w:pos="709"/>
              </w:tabs>
              <w:bidi w:val="0"/>
              <w:jc w:val="end"/>
              <w:rPr/>
            </w:pPr>
            <w:r>
              <w:rPr/>
              <w:t>3000,00</w:t>
            </w:r>
          </w:p>
        </w:tc>
      </w:tr>
      <w:tr>
        <w:trPr>
          <w:trHeight w:val="402" w:hRule="atLeast"/>
        </w:trPr>
        <w:tc>
          <w:tcPr>
            <w:tcW w:w="4285" w:type="dxa"/>
            <w:tcBorders/>
            <w:vAlign w:val="bottom"/>
          </w:tcPr>
          <w:p>
            <w:pPr>
              <w:pStyle w:val="Normal"/>
              <w:tabs>
                <w:tab w:val="clear" w:pos="709"/>
              </w:tabs>
              <w:bidi w:val="0"/>
              <w:jc w:val="start"/>
              <w:rPr/>
            </w:pPr>
            <w:r>
              <w:rPr/>
              <w:t>Frais de déplacements</w:t>
            </w:r>
          </w:p>
        </w:tc>
        <w:tc>
          <w:tcPr>
            <w:tcW w:w="3006" w:type="dxa"/>
            <w:tcBorders/>
            <w:vAlign w:val="bottom"/>
          </w:tcPr>
          <w:p>
            <w:pPr>
              <w:pStyle w:val="Normal"/>
              <w:tabs>
                <w:tab w:val="clear" w:pos="709"/>
              </w:tabs>
              <w:bidi w:val="0"/>
              <w:jc w:val="end"/>
              <w:rPr/>
            </w:pPr>
            <w:r>
              <w:rPr/>
              <w:t>10000,00</w:t>
            </w:r>
          </w:p>
        </w:tc>
      </w:tr>
      <w:tr>
        <w:trPr>
          <w:trHeight w:val="402" w:hRule="atLeast"/>
        </w:trPr>
        <w:tc>
          <w:tcPr>
            <w:tcW w:w="4285" w:type="dxa"/>
            <w:tcBorders/>
            <w:vAlign w:val="bottom"/>
          </w:tcPr>
          <w:p>
            <w:pPr>
              <w:pStyle w:val="Normal"/>
              <w:tabs>
                <w:tab w:val="clear" w:pos="709"/>
              </w:tabs>
              <w:bidi w:val="0"/>
              <w:jc w:val="start"/>
              <w:rPr/>
            </w:pPr>
            <w:r>
              <w:rPr/>
              <w:t>Représentations</w:t>
            </w:r>
          </w:p>
        </w:tc>
        <w:tc>
          <w:tcPr>
            <w:tcW w:w="3006" w:type="dxa"/>
            <w:tcBorders/>
            <w:vAlign w:val="bottom"/>
          </w:tcPr>
          <w:p>
            <w:pPr>
              <w:pStyle w:val="Normal"/>
              <w:tabs>
                <w:tab w:val="clear" w:pos="709"/>
              </w:tabs>
              <w:bidi w:val="0"/>
              <w:jc w:val="end"/>
              <w:rPr/>
            </w:pPr>
            <w:r>
              <w:rPr/>
              <w:t>2000,00</w:t>
            </w:r>
          </w:p>
        </w:tc>
      </w:tr>
      <w:tr>
        <w:trPr>
          <w:trHeight w:val="534" w:hRule="atLeast"/>
        </w:trPr>
        <w:tc>
          <w:tcPr>
            <w:tcW w:w="4285" w:type="dxa"/>
            <w:tcBorders/>
            <w:vAlign w:val="bottom"/>
          </w:tcPr>
          <w:p>
            <w:pPr>
              <w:pStyle w:val="Normal"/>
              <w:tabs>
                <w:tab w:val="clear" w:pos="709"/>
              </w:tabs>
              <w:bidi w:val="0"/>
              <w:jc w:val="start"/>
              <w:rPr/>
            </w:pPr>
            <w:r>
              <w:rPr/>
              <w:t>Achats équipements informatique</w:t>
            </w:r>
          </w:p>
        </w:tc>
        <w:tc>
          <w:tcPr>
            <w:tcW w:w="3006" w:type="dxa"/>
            <w:tcBorders/>
            <w:vAlign w:val="bottom"/>
          </w:tcPr>
          <w:p>
            <w:pPr>
              <w:pStyle w:val="Normal"/>
              <w:tabs>
                <w:tab w:val="clear" w:pos="709"/>
              </w:tabs>
              <w:bidi w:val="0"/>
              <w:jc w:val="end"/>
              <w:rPr/>
            </w:pPr>
            <w:r>
              <w:rPr/>
              <w:t>0,00</w:t>
            </w:r>
          </w:p>
        </w:tc>
      </w:tr>
      <w:tr>
        <w:trPr>
          <w:trHeight w:val="402" w:hRule="atLeast"/>
        </w:trPr>
        <w:tc>
          <w:tcPr>
            <w:tcW w:w="4285" w:type="dxa"/>
            <w:tcBorders/>
            <w:vAlign w:val="bottom"/>
          </w:tcPr>
          <w:p>
            <w:pPr>
              <w:pStyle w:val="Normal"/>
              <w:tabs>
                <w:tab w:val="clear" w:pos="709"/>
              </w:tabs>
              <w:bidi w:val="0"/>
              <w:jc w:val="start"/>
              <w:rPr/>
            </w:pPr>
            <w:r>
              <w:rPr/>
              <w:t>Entretien et réparation générales</w:t>
            </w:r>
          </w:p>
        </w:tc>
        <w:tc>
          <w:tcPr>
            <w:tcW w:w="3006" w:type="dxa"/>
            <w:tcBorders/>
            <w:vAlign w:val="bottom"/>
          </w:tcPr>
          <w:p>
            <w:pPr>
              <w:pStyle w:val="Normal"/>
              <w:tabs>
                <w:tab w:val="clear" w:pos="709"/>
              </w:tabs>
              <w:bidi w:val="0"/>
              <w:jc w:val="end"/>
              <w:rPr/>
            </w:pPr>
            <w:r>
              <w:rPr/>
              <w:t>400,00</w:t>
            </w:r>
          </w:p>
        </w:tc>
      </w:tr>
      <w:tr>
        <w:trPr>
          <w:trHeight w:val="402" w:hRule="atLeast"/>
        </w:trPr>
        <w:tc>
          <w:tcPr>
            <w:tcW w:w="4285" w:type="dxa"/>
            <w:tcBorders/>
            <w:vAlign w:val="bottom"/>
          </w:tcPr>
          <w:p>
            <w:pPr>
              <w:pStyle w:val="Normal"/>
              <w:tabs>
                <w:tab w:val="clear" w:pos="709"/>
              </w:tabs>
              <w:bidi w:val="0"/>
              <w:jc w:val="start"/>
              <w:rPr>
                <w:b/>
              </w:rPr>
            </w:pPr>
            <w:r>
              <w:rPr>
                <w:b/>
              </w:rPr>
              <w:t>Total des dépenses</w:t>
            </w:r>
          </w:p>
        </w:tc>
        <w:tc>
          <w:tcPr>
            <w:tcW w:w="3006" w:type="dxa"/>
            <w:tcBorders/>
            <w:vAlign w:val="bottom"/>
          </w:tcPr>
          <w:p>
            <w:pPr>
              <w:pStyle w:val="Normal"/>
              <w:tabs>
                <w:tab w:val="clear" w:pos="709"/>
              </w:tabs>
              <w:bidi w:val="0"/>
              <w:jc w:val="end"/>
              <w:rPr>
                <w:b/>
              </w:rPr>
            </w:pPr>
            <w:r>
              <w:rPr>
                <w:b/>
              </w:rPr>
              <w:t>249143,00</w:t>
            </w:r>
          </w:p>
        </w:tc>
      </w:tr>
      <w:tr>
        <w:trPr>
          <w:trHeight w:val="589" w:hRule="atLeast"/>
        </w:trPr>
        <w:tc>
          <w:tcPr>
            <w:tcW w:w="4285" w:type="dxa"/>
            <w:tcBorders/>
            <w:vAlign w:val="bottom"/>
          </w:tcPr>
          <w:p>
            <w:pPr>
              <w:pStyle w:val="Normal"/>
              <w:tabs>
                <w:tab w:val="clear" w:pos="709"/>
              </w:tabs>
              <w:bidi w:val="0"/>
              <w:jc w:val="start"/>
              <w:rPr>
                <w:b/>
              </w:rPr>
            </w:pPr>
            <w:r>
              <w:rPr>
                <w:b/>
              </w:rPr>
              <w:t>Excédent des produits sur les charges</w:t>
            </w:r>
          </w:p>
        </w:tc>
        <w:tc>
          <w:tcPr>
            <w:tcW w:w="3006" w:type="dxa"/>
            <w:tcBorders/>
            <w:vAlign w:val="bottom"/>
          </w:tcPr>
          <w:p>
            <w:pPr>
              <w:pStyle w:val="Normal"/>
              <w:tabs>
                <w:tab w:val="clear" w:pos="709"/>
              </w:tabs>
              <w:bidi w:val="0"/>
              <w:jc w:val="end"/>
              <w:rPr>
                <w:b/>
              </w:rPr>
            </w:pPr>
            <w:r>
              <w:rPr>
                <w:b/>
              </w:rPr>
              <w:t>8967,00</w:t>
            </w:r>
          </w:p>
        </w:tc>
      </w:tr>
    </w:tbl>
    <w:p>
      <w:pPr>
        <w:pStyle w:val="Normal"/>
        <w:bidi w:val="0"/>
        <w:jc w:val="start"/>
        <w:rPr/>
      </w:pPr>
      <w:r>
        <w:rPr/>
      </w:r>
    </w:p>
    <w:p>
      <w:pPr>
        <w:pStyle w:val="Normal"/>
        <w:bidi w:val="0"/>
        <w:jc w:val="start"/>
        <w:rPr>
          <w:color w:val="FF0000"/>
        </w:rPr>
      </w:pPr>
      <w:r>
        <w:rPr>
          <w:color w:val="FF0000"/>
        </w:rPr>
      </w:r>
    </w:p>
    <w:p>
      <w:pPr>
        <w:pStyle w:val="Normal"/>
        <w:bidi w:val="0"/>
        <w:jc w:val="start"/>
        <w:rPr>
          <w:color w:val="FF0000"/>
        </w:rPr>
      </w:pPr>
      <w:r>
        <w:rPr>
          <w:color w:val="FF0000"/>
        </w:rPr>
      </w:r>
    </w:p>
    <w:sectPr>
      <w:type w:val="nextPage"/>
      <w:pgSz w:w="12240" w:h="15840"/>
      <w:pgMar w:left="1134" w:right="1134" w:gutter="0" w:header="0" w:top="1134" w:footer="0" w:bottom="1134"/>
      <w:pgNumType w:start="1"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Liberation Sans">
    <w:altName w:val="Arial"/>
    <w:charset w:val="01" w:characterSet="utf-8"/>
    <w:family w:val="swiss"/>
    <w:pitch w:val="variable"/>
  </w:font>
  <w:font w:name="Calibri">
    <w:charset w:val="01" w:characterSet="utf-8"/>
    <w:family w:val="roman"/>
    <w:pitch w:val="variable"/>
  </w:font>
  <w:font w:name="Apple Chancery">
    <w:charset w:val="01"/>
    <w:family w:val="auto"/>
    <w:pitch w:val="variable"/>
  </w:font>
  <w:font w:name="Roboto">
    <w:charset w:val="01" w:characterSet="utf-8"/>
    <w:family w:val="roman"/>
    <w:pitch w:val="variable"/>
  </w:font>
  <w:font w:name="Helvetica Neue">
    <w:charset w:val="01" w:characterSet="utf-8"/>
    <w:family w:val="roman"/>
    <w:pitch w:val="variable"/>
  </w:font>
  <w:font w:name="OpenSymbol">
    <w:altName w:val="Arial Unicode MS"/>
    <w:charset w:val="01"/>
    <w:family w:val="auto"/>
    <w:pitch w:val="variable"/>
  </w:font>
  <w:font w:name="Wingdings">
    <w:charset w:val="01" w:characterSet="utf-8"/>
    <w:family w:val="auto"/>
    <w:pitch w:val="variable"/>
  </w:font>
  <w:font w:name="Wingdings 2">
    <w:charset w:val="01" w:characterSet="utf-8"/>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start"/>
      <w:pPr>
        <w:tabs>
          <w:tab w:val="num" w:pos="0"/>
        </w:tabs>
        <w:ind w:start="720" w:hanging="360"/>
      </w:pPr>
      <w:rPr>
        <w:rFonts w:ascii="OpenSymbol" w:hAnsi="OpenSymbol" w:cs="OpenSymbol" w:hint="default"/>
        <w:u w:val="none"/>
      </w:rPr>
    </w:lvl>
    <w:lvl w:ilvl="1">
      <w:start w:val="1"/>
      <w:numFmt w:val="bullet"/>
      <w:lvlText w:val="-"/>
      <w:lvlJc w:val="start"/>
      <w:pPr>
        <w:tabs>
          <w:tab w:val="num" w:pos="0"/>
        </w:tabs>
        <w:ind w:start="1440" w:hanging="360"/>
      </w:pPr>
      <w:rPr>
        <w:rFonts w:ascii="OpenSymbol" w:hAnsi="OpenSymbol" w:cs="OpenSymbol" w:hint="default"/>
        <w:u w:val="none"/>
      </w:rPr>
    </w:lvl>
    <w:lvl w:ilvl="2">
      <w:start w:val="1"/>
      <w:numFmt w:val="bullet"/>
      <w:lvlText w:val="-"/>
      <w:lvlJc w:val="start"/>
      <w:pPr>
        <w:tabs>
          <w:tab w:val="num" w:pos="0"/>
        </w:tabs>
        <w:ind w:start="2160" w:hanging="360"/>
      </w:pPr>
      <w:rPr>
        <w:rFonts w:ascii="OpenSymbol" w:hAnsi="OpenSymbol" w:cs="OpenSymbol" w:hint="default"/>
        <w:u w:val="none"/>
      </w:rPr>
    </w:lvl>
    <w:lvl w:ilvl="3">
      <w:start w:val="1"/>
      <w:numFmt w:val="bullet"/>
      <w:lvlText w:val="-"/>
      <w:lvlJc w:val="start"/>
      <w:pPr>
        <w:tabs>
          <w:tab w:val="num" w:pos="0"/>
        </w:tabs>
        <w:ind w:start="2880" w:hanging="360"/>
      </w:pPr>
      <w:rPr>
        <w:rFonts w:ascii="OpenSymbol" w:hAnsi="OpenSymbol" w:cs="OpenSymbol" w:hint="default"/>
        <w:u w:val="none"/>
      </w:rPr>
    </w:lvl>
    <w:lvl w:ilvl="4">
      <w:start w:val="1"/>
      <w:numFmt w:val="bullet"/>
      <w:lvlText w:val="-"/>
      <w:lvlJc w:val="start"/>
      <w:pPr>
        <w:tabs>
          <w:tab w:val="num" w:pos="0"/>
        </w:tabs>
        <w:ind w:start="3600" w:hanging="360"/>
      </w:pPr>
      <w:rPr>
        <w:rFonts w:ascii="OpenSymbol" w:hAnsi="OpenSymbol" w:cs="OpenSymbol" w:hint="default"/>
        <w:u w:val="none"/>
      </w:rPr>
    </w:lvl>
    <w:lvl w:ilvl="5">
      <w:start w:val="1"/>
      <w:numFmt w:val="bullet"/>
      <w:lvlText w:val="-"/>
      <w:lvlJc w:val="start"/>
      <w:pPr>
        <w:tabs>
          <w:tab w:val="num" w:pos="0"/>
        </w:tabs>
        <w:ind w:start="4320" w:hanging="360"/>
      </w:pPr>
      <w:rPr>
        <w:rFonts w:ascii="OpenSymbol" w:hAnsi="OpenSymbol" w:cs="OpenSymbol" w:hint="default"/>
        <w:u w:val="none"/>
      </w:rPr>
    </w:lvl>
    <w:lvl w:ilvl="6">
      <w:start w:val="1"/>
      <w:numFmt w:val="bullet"/>
      <w:lvlText w:val="-"/>
      <w:lvlJc w:val="start"/>
      <w:pPr>
        <w:tabs>
          <w:tab w:val="num" w:pos="0"/>
        </w:tabs>
        <w:ind w:start="5040" w:hanging="360"/>
      </w:pPr>
      <w:rPr>
        <w:rFonts w:ascii="OpenSymbol" w:hAnsi="OpenSymbol" w:cs="OpenSymbol" w:hint="default"/>
        <w:u w:val="none"/>
      </w:rPr>
    </w:lvl>
    <w:lvl w:ilvl="7">
      <w:start w:val="1"/>
      <w:numFmt w:val="bullet"/>
      <w:lvlText w:val="-"/>
      <w:lvlJc w:val="start"/>
      <w:pPr>
        <w:tabs>
          <w:tab w:val="num" w:pos="0"/>
        </w:tabs>
        <w:ind w:start="5760" w:hanging="360"/>
      </w:pPr>
      <w:rPr>
        <w:rFonts w:ascii="OpenSymbol" w:hAnsi="OpenSymbol" w:cs="OpenSymbol" w:hint="default"/>
        <w:u w:val="none"/>
      </w:rPr>
    </w:lvl>
    <w:lvl w:ilvl="8">
      <w:start w:val="1"/>
      <w:numFmt w:val="bullet"/>
      <w:lvlText w:val="-"/>
      <w:lvlJc w:val="start"/>
      <w:pPr>
        <w:tabs>
          <w:tab w:val="num" w:pos="0"/>
        </w:tabs>
        <w:ind w:start="6480" w:hanging="360"/>
      </w:pPr>
      <w:rPr>
        <w:rFonts w:ascii="OpenSymbol" w:hAnsi="OpenSymbol" w:cs="OpenSymbol" w:hint="default"/>
        <w:u w:val="none"/>
      </w:rPr>
    </w:lvl>
  </w:abstractNum>
  <w:abstractNum w:abstractNumId="2">
    <w:lvl w:ilvl="0">
      <w:start w:val="1"/>
      <w:numFmt w:val="bullet"/>
      <w:lvlText w:val=""/>
      <w:lvlJc w:val="start"/>
      <w:pPr>
        <w:tabs>
          <w:tab w:val="num" w:pos="0"/>
        </w:tabs>
        <w:ind w:start="720" w:hanging="360"/>
      </w:pPr>
      <w:rPr>
        <w:rFonts w:ascii="Wingdings" w:hAnsi="Wingdings" w:cs="Wingdings" w:hint="default"/>
        <w:u w:val="none"/>
      </w:rPr>
    </w:lvl>
    <w:lvl w:ilvl="1">
      <w:start w:val="1"/>
      <w:numFmt w:val="bullet"/>
      <w:lvlText w:val=""/>
      <w:lvlJc w:val="start"/>
      <w:pPr>
        <w:tabs>
          <w:tab w:val="num" w:pos="0"/>
        </w:tabs>
        <w:ind w:start="1440" w:hanging="360"/>
      </w:pPr>
      <w:rPr>
        <w:rFonts w:ascii="Wingdings 2" w:hAnsi="Wingdings 2" w:cs="Wingdings 2" w:hint="default"/>
        <w:u w:val="none"/>
      </w:rPr>
    </w:lvl>
    <w:lvl w:ilvl="2">
      <w:start w:val="1"/>
      <w:numFmt w:val="bullet"/>
      <w:lvlText w:val="■"/>
      <w:lvlJc w:val="start"/>
      <w:pPr>
        <w:tabs>
          <w:tab w:val="num" w:pos="0"/>
        </w:tabs>
        <w:ind w:start="2160" w:hanging="360"/>
      </w:pPr>
      <w:rPr>
        <w:rFonts w:ascii="OpenSymbol" w:hAnsi="OpenSymbol" w:cs="OpenSymbol" w:hint="default"/>
        <w:u w:val="none"/>
      </w:rPr>
    </w:lvl>
    <w:lvl w:ilvl="3">
      <w:start w:val="1"/>
      <w:numFmt w:val="bullet"/>
      <w:lvlText w:val=""/>
      <w:lvlJc w:val="start"/>
      <w:pPr>
        <w:tabs>
          <w:tab w:val="num" w:pos="0"/>
        </w:tabs>
        <w:ind w:start="2880" w:hanging="360"/>
      </w:pPr>
      <w:rPr>
        <w:rFonts w:ascii="Wingdings" w:hAnsi="Wingdings" w:cs="Wingdings" w:hint="default"/>
        <w:u w:val="none"/>
      </w:rPr>
    </w:lvl>
    <w:lvl w:ilvl="4">
      <w:start w:val="1"/>
      <w:numFmt w:val="bullet"/>
      <w:lvlText w:val=""/>
      <w:lvlJc w:val="start"/>
      <w:pPr>
        <w:tabs>
          <w:tab w:val="num" w:pos="0"/>
        </w:tabs>
        <w:ind w:start="3600" w:hanging="360"/>
      </w:pPr>
      <w:rPr>
        <w:rFonts w:ascii="Wingdings 2" w:hAnsi="Wingdings 2" w:cs="Wingdings 2" w:hint="default"/>
        <w:u w:val="none"/>
      </w:rPr>
    </w:lvl>
    <w:lvl w:ilvl="5">
      <w:start w:val="1"/>
      <w:numFmt w:val="bullet"/>
      <w:lvlText w:val="■"/>
      <w:lvlJc w:val="start"/>
      <w:pPr>
        <w:tabs>
          <w:tab w:val="num" w:pos="0"/>
        </w:tabs>
        <w:ind w:start="4320" w:hanging="360"/>
      </w:pPr>
      <w:rPr>
        <w:rFonts w:ascii="OpenSymbol" w:hAnsi="OpenSymbol" w:cs="OpenSymbol" w:hint="default"/>
        <w:u w:val="none"/>
      </w:rPr>
    </w:lvl>
    <w:lvl w:ilvl="6">
      <w:start w:val="1"/>
      <w:numFmt w:val="bullet"/>
      <w:lvlText w:val=""/>
      <w:lvlJc w:val="start"/>
      <w:pPr>
        <w:tabs>
          <w:tab w:val="num" w:pos="0"/>
        </w:tabs>
        <w:ind w:start="5040" w:hanging="360"/>
      </w:pPr>
      <w:rPr>
        <w:rFonts w:ascii="Wingdings" w:hAnsi="Wingdings" w:cs="Wingdings" w:hint="default"/>
        <w:u w:val="none"/>
      </w:rPr>
    </w:lvl>
    <w:lvl w:ilvl="7">
      <w:start w:val="1"/>
      <w:numFmt w:val="bullet"/>
      <w:lvlText w:val=""/>
      <w:lvlJc w:val="start"/>
      <w:pPr>
        <w:tabs>
          <w:tab w:val="num" w:pos="0"/>
        </w:tabs>
        <w:ind w:start="5760" w:hanging="360"/>
      </w:pPr>
      <w:rPr>
        <w:rFonts w:ascii="Wingdings 2" w:hAnsi="Wingdings 2" w:cs="Wingdings 2" w:hint="default"/>
        <w:u w:val="none"/>
      </w:rPr>
    </w:lvl>
    <w:lvl w:ilvl="8">
      <w:start w:val="1"/>
      <w:numFmt w:val="bullet"/>
      <w:lvlText w:val="■"/>
      <w:lvlJc w:val="start"/>
      <w:pPr>
        <w:tabs>
          <w:tab w:val="num" w:pos="0"/>
        </w:tabs>
        <w:ind w:start="6480" w:hanging="360"/>
      </w:pPr>
      <w:rPr>
        <w:rFonts w:ascii="OpenSymbol" w:hAnsi="OpenSymbol" w:cs="OpenSymbol" w:hint="default"/>
        <w:u w:val="none"/>
      </w:rPr>
    </w:lvl>
  </w:abstractNum>
  <w:abstractNum w:abstractNumId="3">
    <w:lvl w:ilvl="0">
      <w:start w:val="1"/>
      <w:numFmt w:val="bullet"/>
      <w:lvlText w:val="-"/>
      <w:lvlJc w:val="start"/>
      <w:pPr>
        <w:tabs>
          <w:tab w:val="num" w:pos="0"/>
        </w:tabs>
        <w:ind w:start="720" w:hanging="360"/>
      </w:pPr>
      <w:rPr>
        <w:rFonts w:ascii="OpenSymbol" w:hAnsi="OpenSymbol" w:cs="OpenSymbol" w:hint="default"/>
        <w:u w:val="none"/>
      </w:rPr>
    </w:lvl>
    <w:lvl w:ilvl="1">
      <w:start w:val="1"/>
      <w:numFmt w:val="bullet"/>
      <w:lvlText w:val="-"/>
      <w:lvlJc w:val="start"/>
      <w:pPr>
        <w:tabs>
          <w:tab w:val="num" w:pos="0"/>
        </w:tabs>
        <w:ind w:start="1440" w:hanging="360"/>
      </w:pPr>
      <w:rPr>
        <w:rFonts w:ascii="OpenSymbol" w:hAnsi="OpenSymbol" w:cs="OpenSymbol" w:hint="default"/>
        <w:u w:val="none"/>
      </w:rPr>
    </w:lvl>
    <w:lvl w:ilvl="2">
      <w:start w:val="1"/>
      <w:numFmt w:val="bullet"/>
      <w:lvlText w:val="-"/>
      <w:lvlJc w:val="start"/>
      <w:pPr>
        <w:tabs>
          <w:tab w:val="num" w:pos="0"/>
        </w:tabs>
        <w:ind w:start="2160" w:hanging="360"/>
      </w:pPr>
      <w:rPr>
        <w:rFonts w:ascii="OpenSymbol" w:hAnsi="OpenSymbol" w:cs="OpenSymbol" w:hint="default"/>
        <w:u w:val="none"/>
      </w:rPr>
    </w:lvl>
    <w:lvl w:ilvl="3">
      <w:start w:val="1"/>
      <w:numFmt w:val="bullet"/>
      <w:lvlText w:val="-"/>
      <w:lvlJc w:val="start"/>
      <w:pPr>
        <w:tabs>
          <w:tab w:val="num" w:pos="0"/>
        </w:tabs>
        <w:ind w:start="2880" w:hanging="360"/>
      </w:pPr>
      <w:rPr>
        <w:rFonts w:ascii="OpenSymbol" w:hAnsi="OpenSymbol" w:cs="OpenSymbol" w:hint="default"/>
        <w:u w:val="none"/>
      </w:rPr>
    </w:lvl>
    <w:lvl w:ilvl="4">
      <w:start w:val="1"/>
      <w:numFmt w:val="bullet"/>
      <w:lvlText w:val="-"/>
      <w:lvlJc w:val="start"/>
      <w:pPr>
        <w:tabs>
          <w:tab w:val="num" w:pos="0"/>
        </w:tabs>
        <w:ind w:start="3600" w:hanging="360"/>
      </w:pPr>
      <w:rPr>
        <w:rFonts w:ascii="OpenSymbol" w:hAnsi="OpenSymbol" w:cs="OpenSymbol" w:hint="default"/>
        <w:u w:val="none"/>
      </w:rPr>
    </w:lvl>
    <w:lvl w:ilvl="5">
      <w:start w:val="1"/>
      <w:numFmt w:val="bullet"/>
      <w:lvlText w:val="-"/>
      <w:lvlJc w:val="start"/>
      <w:pPr>
        <w:tabs>
          <w:tab w:val="num" w:pos="0"/>
        </w:tabs>
        <w:ind w:start="4320" w:hanging="360"/>
      </w:pPr>
      <w:rPr>
        <w:rFonts w:ascii="OpenSymbol" w:hAnsi="OpenSymbol" w:cs="OpenSymbol" w:hint="default"/>
        <w:u w:val="none"/>
      </w:rPr>
    </w:lvl>
    <w:lvl w:ilvl="6">
      <w:start w:val="1"/>
      <w:numFmt w:val="bullet"/>
      <w:lvlText w:val="-"/>
      <w:lvlJc w:val="start"/>
      <w:pPr>
        <w:tabs>
          <w:tab w:val="num" w:pos="0"/>
        </w:tabs>
        <w:ind w:start="5040" w:hanging="360"/>
      </w:pPr>
      <w:rPr>
        <w:rFonts w:ascii="OpenSymbol" w:hAnsi="OpenSymbol" w:cs="OpenSymbol" w:hint="default"/>
        <w:u w:val="none"/>
      </w:rPr>
    </w:lvl>
    <w:lvl w:ilvl="7">
      <w:start w:val="1"/>
      <w:numFmt w:val="bullet"/>
      <w:lvlText w:val="-"/>
      <w:lvlJc w:val="start"/>
      <w:pPr>
        <w:tabs>
          <w:tab w:val="num" w:pos="0"/>
        </w:tabs>
        <w:ind w:start="5760" w:hanging="360"/>
      </w:pPr>
      <w:rPr>
        <w:rFonts w:ascii="OpenSymbol" w:hAnsi="OpenSymbol" w:cs="OpenSymbol" w:hint="default"/>
        <w:u w:val="none"/>
      </w:rPr>
    </w:lvl>
    <w:lvl w:ilvl="8">
      <w:start w:val="1"/>
      <w:numFmt w:val="bullet"/>
      <w:lvlText w:val="-"/>
      <w:lvlJc w:val="start"/>
      <w:pPr>
        <w:tabs>
          <w:tab w:val="num" w:pos="0"/>
        </w:tabs>
        <w:ind w:start="6480" w:hanging="360"/>
      </w:pPr>
      <w:rPr>
        <w:rFonts w:ascii="OpenSymbol" w:hAnsi="OpenSymbol" w:cs="OpenSymbol" w:hint="default"/>
        <w:u w:val="none"/>
      </w:rPr>
    </w:lvl>
  </w:abstractNum>
  <w:abstractNum w:abstractNumId="4">
    <w:lvl w:ilvl="0">
      <w:start w:val="1"/>
      <w:numFmt w:val="bullet"/>
      <w:lvlText w:val=""/>
      <w:lvlJc w:val="start"/>
      <w:pPr>
        <w:tabs>
          <w:tab w:val="num" w:pos="0"/>
        </w:tabs>
        <w:ind w:start="720" w:hanging="360"/>
      </w:pPr>
      <w:rPr>
        <w:rFonts w:ascii="Wingdings" w:hAnsi="Wingdings" w:cs="Wingdings" w:hint="default"/>
        <w:u w:val="none"/>
      </w:rPr>
    </w:lvl>
    <w:lvl w:ilvl="1">
      <w:start w:val="1"/>
      <w:numFmt w:val="bullet"/>
      <w:lvlText w:val=""/>
      <w:lvlJc w:val="start"/>
      <w:pPr>
        <w:tabs>
          <w:tab w:val="num" w:pos="0"/>
        </w:tabs>
        <w:ind w:start="1440" w:hanging="360"/>
      </w:pPr>
      <w:rPr>
        <w:rFonts w:ascii="Wingdings 2" w:hAnsi="Wingdings 2" w:cs="Wingdings 2" w:hint="default"/>
        <w:u w:val="none"/>
      </w:rPr>
    </w:lvl>
    <w:lvl w:ilvl="2">
      <w:start w:val="1"/>
      <w:numFmt w:val="bullet"/>
      <w:lvlText w:val="■"/>
      <w:lvlJc w:val="start"/>
      <w:pPr>
        <w:tabs>
          <w:tab w:val="num" w:pos="0"/>
        </w:tabs>
        <w:ind w:start="2160" w:hanging="360"/>
      </w:pPr>
      <w:rPr>
        <w:rFonts w:ascii="OpenSymbol" w:hAnsi="OpenSymbol" w:cs="OpenSymbol" w:hint="default"/>
        <w:u w:val="none"/>
      </w:rPr>
    </w:lvl>
    <w:lvl w:ilvl="3">
      <w:start w:val="1"/>
      <w:numFmt w:val="bullet"/>
      <w:lvlText w:val=""/>
      <w:lvlJc w:val="start"/>
      <w:pPr>
        <w:tabs>
          <w:tab w:val="num" w:pos="0"/>
        </w:tabs>
        <w:ind w:start="2880" w:hanging="360"/>
      </w:pPr>
      <w:rPr>
        <w:rFonts w:ascii="Wingdings" w:hAnsi="Wingdings" w:cs="Wingdings" w:hint="default"/>
        <w:u w:val="none"/>
      </w:rPr>
    </w:lvl>
    <w:lvl w:ilvl="4">
      <w:start w:val="1"/>
      <w:numFmt w:val="bullet"/>
      <w:lvlText w:val=""/>
      <w:lvlJc w:val="start"/>
      <w:pPr>
        <w:tabs>
          <w:tab w:val="num" w:pos="0"/>
        </w:tabs>
        <w:ind w:start="3600" w:hanging="360"/>
      </w:pPr>
      <w:rPr>
        <w:rFonts w:ascii="Wingdings 2" w:hAnsi="Wingdings 2" w:cs="Wingdings 2" w:hint="default"/>
        <w:u w:val="none"/>
      </w:rPr>
    </w:lvl>
    <w:lvl w:ilvl="5">
      <w:start w:val="1"/>
      <w:numFmt w:val="bullet"/>
      <w:lvlText w:val="■"/>
      <w:lvlJc w:val="start"/>
      <w:pPr>
        <w:tabs>
          <w:tab w:val="num" w:pos="0"/>
        </w:tabs>
        <w:ind w:start="4320" w:hanging="360"/>
      </w:pPr>
      <w:rPr>
        <w:rFonts w:ascii="OpenSymbol" w:hAnsi="OpenSymbol" w:cs="OpenSymbol" w:hint="default"/>
        <w:u w:val="none"/>
      </w:rPr>
    </w:lvl>
    <w:lvl w:ilvl="6">
      <w:start w:val="1"/>
      <w:numFmt w:val="bullet"/>
      <w:lvlText w:val=""/>
      <w:lvlJc w:val="start"/>
      <w:pPr>
        <w:tabs>
          <w:tab w:val="num" w:pos="0"/>
        </w:tabs>
        <w:ind w:start="5040" w:hanging="360"/>
      </w:pPr>
      <w:rPr>
        <w:rFonts w:ascii="Wingdings" w:hAnsi="Wingdings" w:cs="Wingdings" w:hint="default"/>
        <w:u w:val="none"/>
      </w:rPr>
    </w:lvl>
    <w:lvl w:ilvl="7">
      <w:start w:val="1"/>
      <w:numFmt w:val="bullet"/>
      <w:lvlText w:val=""/>
      <w:lvlJc w:val="start"/>
      <w:pPr>
        <w:tabs>
          <w:tab w:val="num" w:pos="0"/>
        </w:tabs>
        <w:ind w:start="5760" w:hanging="360"/>
      </w:pPr>
      <w:rPr>
        <w:rFonts w:ascii="Wingdings 2" w:hAnsi="Wingdings 2" w:cs="Wingdings 2" w:hint="default"/>
        <w:u w:val="none"/>
      </w:rPr>
    </w:lvl>
    <w:lvl w:ilvl="8">
      <w:start w:val="1"/>
      <w:numFmt w:val="bullet"/>
      <w:lvlText w:val="■"/>
      <w:lvlJc w:val="start"/>
      <w:pPr>
        <w:tabs>
          <w:tab w:val="num" w:pos="0"/>
        </w:tabs>
        <w:ind w:start="6480" w:hanging="360"/>
      </w:pPr>
      <w:rPr>
        <w:rFonts w:ascii="OpenSymbol" w:hAnsi="OpenSymbol" w:cs="OpenSymbol" w:hint="default"/>
        <w:u w:val="none"/>
      </w:rPr>
    </w:lvl>
  </w:abstractNum>
  <w:abstractNum w:abstractNumId="5">
    <w:lvl w:ilvl="0">
      <w:start w:val="1"/>
      <w:numFmt w:val="bullet"/>
      <w:lvlText w:val=""/>
      <w:lvlJc w:val="start"/>
      <w:pPr>
        <w:tabs>
          <w:tab w:val="num" w:pos="0"/>
        </w:tabs>
        <w:ind w:start="720" w:hanging="360"/>
      </w:pPr>
      <w:rPr>
        <w:rFonts w:ascii="Wingdings" w:hAnsi="Wingdings" w:cs="Wingdings" w:hint="default"/>
        <w:u w:val="none"/>
      </w:rPr>
    </w:lvl>
    <w:lvl w:ilvl="1">
      <w:start w:val="1"/>
      <w:numFmt w:val="bullet"/>
      <w:lvlText w:val=""/>
      <w:lvlJc w:val="start"/>
      <w:pPr>
        <w:tabs>
          <w:tab w:val="num" w:pos="0"/>
        </w:tabs>
        <w:ind w:start="1440" w:hanging="360"/>
      </w:pPr>
      <w:rPr>
        <w:rFonts w:ascii="Wingdings 2" w:hAnsi="Wingdings 2" w:cs="Wingdings 2" w:hint="default"/>
        <w:u w:val="none"/>
      </w:rPr>
    </w:lvl>
    <w:lvl w:ilvl="2">
      <w:start w:val="1"/>
      <w:numFmt w:val="bullet"/>
      <w:lvlText w:val="■"/>
      <w:lvlJc w:val="start"/>
      <w:pPr>
        <w:tabs>
          <w:tab w:val="num" w:pos="0"/>
        </w:tabs>
        <w:ind w:start="2160" w:hanging="360"/>
      </w:pPr>
      <w:rPr>
        <w:rFonts w:ascii="OpenSymbol" w:hAnsi="OpenSymbol" w:cs="OpenSymbol" w:hint="default"/>
        <w:u w:val="none"/>
      </w:rPr>
    </w:lvl>
    <w:lvl w:ilvl="3">
      <w:start w:val="1"/>
      <w:numFmt w:val="bullet"/>
      <w:lvlText w:val=""/>
      <w:lvlJc w:val="start"/>
      <w:pPr>
        <w:tabs>
          <w:tab w:val="num" w:pos="0"/>
        </w:tabs>
        <w:ind w:start="2880" w:hanging="360"/>
      </w:pPr>
      <w:rPr>
        <w:rFonts w:ascii="Wingdings" w:hAnsi="Wingdings" w:cs="Wingdings" w:hint="default"/>
        <w:u w:val="none"/>
      </w:rPr>
    </w:lvl>
    <w:lvl w:ilvl="4">
      <w:start w:val="1"/>
      <w:numFmt w:val="bullet"/>
      <w:lvlText w:val=""/>
      <w:lvlJc w:val="start"/>
      <w:pPr>
        <w:tabs>
          <w:tab w:val="num" w:pos="0"/>
        </w:tabs>
        <w:ind w:start="3600" w:hanging="360"/>
      </w:pPr>
      <w:rPr>
        <w:rFonts w:ascii="Wingdings 2" w:hAnsi="Wingdings 2" w:cs="Wingdings 2" w:hint="default"/>
        <w:u w:val="none"/>
      </w:rPr>
    </w:lvl>
    <w:lvl w:ilvl="5">
      <w:start w:val="1"/>
      <w:numFmt w:val="bullet"/>
      <w:lvlText w:val="■"/>
      <w:lvlJc w:val="start"/>
      <w:pPr>
        <w:tabs>
          <w:tab w:val="num" w:pos="0"/>
        </w:tabs>
        <w:ind w:start="4320" w:hanging="360"/>
      </w:pPr>
      <w:rPr>
        <w:rFonts w:ascii="OpenSymbol" w:hAnsi="OpenSymbol" w:cs="OpenSymbol" w:hint="default"/>
        <w:u w:val="none"/>
      </w:rPr>
    </w:lvl>
    <w:lvl w:ilvl="6">
      <w:start w:val="1"/>
      <w:numFmt w:val="bullet"/>
      <w:lvlText w:val=""/>
      <w:lvlJc w:val="start"/>
      <w:pPr>
        <w:tabs>
          <w:tab w:val="num" w:pos="0"/>
        </w:tabs>
        <w:ind w:start="5040" w:hanging="360"/>
      </w:pPr>
      <w:rPr>
        <w:rFonts w:ascii="Wingdings" w:hAnsi="Wingdings" w:cs="Wingdings" w:hint="default"/>
        <w:u w:val="none"/>
      </w:rPr>
    </w:lvl>
    <w:lvl w:ilvl="7">
      <w:start w:val="1"/>
      <w:numFmt w:val="bullet"/>
      <w:lvlText w:val=""/>
      <w:lvlJc w:val="start"/>
      <w:pPr>
        <w:tabs>
          <w:tab w:val="num" w:pos="0"/>
        </w:tabs>
        <w:ind w:start="5760" w:hanging="360"/>
      </w:pPr>
      <w:rPr>
        <w:rFonts w:ascii="Wingdings 2" w:hAnsi="Wingdings 2" w:cs="Wingdings 2" w:hint="default"/>
        <w:u w:val="none"/>
      </w:rPr>
    </w:lvl>
    <w:lvl w:ilvl="8">
      <w:start w:val="1"/>
      <w:numFmt w:val="bullet"/>
      <w:lvlText w:val="■"/>
      <w:lvlJc w:val="start"/>
      <w:pPr>
        <w:tabs>
          <w:tab w:val="num" w:pos="0"/>
        </w:tabs>
        <w:ind w:start="6480" w:hanging="360"/>
      </w:pPr>
      <w:rPr>
        <w:rFonts w:ascii="OpenSymbol" w:hAnsi="OpenSymbol" w:cs="OpenSymbol" w:hint="default"/>
        <w:u w:val="none"/>
      </w:rPr>
    </w:lvl>
  </w:abstractNum>
  <w:abstractNum w:abstractNumId="6">
    <w:lvl w:ilvl="0">
      <w:start w:val="1"/>
      <w:numFmt w:val="bullet"/>
      <w:lvlText w:val=""/>
      <w:lvlJc w:val="start"/>
      <w:pPr>
        <w:tabs>
          <w:tab w:val="num" w:pos="0"/>
        </w:tabs>
        <w:ind w:start="720" w:hanging="360"/>
      </w:pPr>
      <w:rPr>
        <w:rFonts w:ascii="Wingdings" w:hAnsi="Wingdings" w:cs="Wingdings" w:hint="default"/>
        <w:u w:val="none"/>
      </w:rPr>
    </w:lvl>
    <w:lvl w:ilvl="1">
      <w:start w:val="1"/>
      <w:numFmt w:val="bullet"/>
      <w:lvlText w:val=""/>
      <w:lvlJc w:val="start"/>
      <w:pPr>
        <w:tabs>
          <w:tab w:val="num" w:pos="0"/>
        </w:tabs>
        <w:ind w:start="1440" w:hanging="360"/>
      </w:pPr>
      <w:rPr>
        <w:rFonts w:ascii="Wingdings 2" w:hAnsi="Wingdings 2" w:cs="Wingdings 2" w:hint="default"/>
        <w:u w:val="none"/>
      </w:rPr>
    </w:lvl>
    <w:lvl w:ilvl="2">
      <w:start w:val="1"/>
      <w:numFmt w:val="bullet"/>
      <w:lvlText w:val="■"/>
      <w:lvlJc w:val="start"/>
      <w:pPr>
        <w:tabs>
          <w:tab w:val="num" w:pos="0"/>
        </w:tabs>
        <w:ind w:start="2160" w:hanging="360"/>
      </w:pPr>
      <w:rPr>
        <w:rFonts w:ascii="OpenSymbol" w:hAnsi="OpenSymbol" w:cs="OpenSymbol" w:hint="default"/>
        <w:u w:val="none"/>
      </w:rPr>
    </w:lvl>
    <w:lvl w:ilvl="3">
      <w:start w:val="1"/>
      <w:numFmt w:val="bullet"/>
      <w:lvlText w:val=""/>
      <w:lvlJc w:val="start"/>
      <w:pPr>
        <w:tabs>
          <w:tab w:val="num" w:pos="0"/>
        </w:tabs>
        <w:ind w:start="2880" w:hanging="360"/>
      </w:pPr>
      <w:rPr>
        <w:rFonts w:ascii="Wingdings" w:hAnsi="Wingdings" w:cs="Wingdings" w:hint="default"/>
        <w:u w:val="none"/>
      </w:rPr>
    </w:lvl>
    <w:lvl w:ilvl="4">
      <w:start w:val="1"/>
      <w:numFmt w:val="bullet"/>
      <w:lvlText w:val=""/>
      <w:lvlJc w:val="start"/>
      <w:pPr>
        <w:tabs>
          <w:tab w:val="num" w:pos="0"/>
        </w:tabs>
        <w:ind w:start="3600" w:hanging="360"/>
      </w:pPr>
      <w:rPr>
        <w:rFonts w:ascii="Wingdings 2" w:hAnsi="Wingdings 2" w:cs="Wingdings 2" w:hint="default"/>
        <w:u w:val="none"/>
      </w:rPr>
    </w:lvl>
    <w:lvl w:ilvl="5">
      <w:start w:val="1"/>
      <w:numFmt w:val="bullet"/>
      <w:lvlText w:val="■"/>
      <w:lvlJc w:val="start"/>
      <w:pPr>
        <w:tabs>
          <w:tab w:val="num" w:pos="0"/>
        </w:tabs>
        <w:ind w:start="4320" w:hanging="360"/>
      </w:pPr>
      <w:rPr>
        <w:rFonts w:ascii="OpenSymbol" w:hAnsi="OpenSymbol" w:cs="OpenSymbol" w:hint="default"/>
        <w:u w:val="none"/>
      </w:rPr>
    </w:lvl>
    <w:lvl w:ilvl="6">
      <w:start w:val="1"/>
      <w:numFmt w:val="bullet"/>
      <w:lvlText w:val=""/>
      <w:lvlJc w:val="start"/>
      <w:pPr>
        <w:tabs>
          <w:tab w:val="num" w:pos="0"/>
        </w:tabs>
        <w:ind w:start="5040" w:hanging="360"/>
      </w:pPr>
      <w:rPr>
        <w:rFonts w:ascii="Wingdings" w:hAnsi="Wingdings" w:cs="Wingdings" w:hint="default"/>
        <w:u w:val="none"/>
      </w:rPr>
    </w:lvl>
    <w:lvl w:ilvl="7">
      <w:start w:val="1"/>
      <w:numFmt w:val="bullet"/>
      <w:lvlText w:val=""/>
      <w:lvlJc w:val="start"/>
      <w:pPr>
        <w:tabs>
          <w:tab w:val="num" w:pos="0"/>
        </w:tabs>
        <w:ind w:start="5760" w:hanging="360"/>
      </w:pPr>
      <w:rPr>
        <w:rFonts w:ascii="Wingdings 2" w:hAnsi="Wingdings 2" w:cs="Wingdings 2" w:hint="default"/>
        <w:u w:val="none"/>
      </w:rPr>
    </w:lvl>
    <w:lvl w:ilvl="8">
      <w:start w:val="1"/>
      <w:numFmt w:val="bullet"/>
      <w:lvlText w:val="■"/>
      <w:lvlJc w:val="start"/>
      <w:pPr>
        <w:tabs>
          <w:tab w:val="num" w:pos="0"/>
        </w:tabs>
        <w:ind w:start="6480" w:hanging="360"/>
      </w:pPr>
      <w:rPr>
        <w:rFonts w:ascii="OpenSymbol" w:hAnsi="OpenSymbol" w:cs="OpenSymbol" w:hint="default"/>
        <w:u w:val="none"/>
      </w:rPr>
    </w:lvl>
  </w:abstractNum>
  <w:abstractNum w:abstractNumId="7">
    <w:lvl w:ilvl="0">
      <w:start w:val="1"/>
      <w:numFmt w:val="bullet"/>
      <w:lvlText w:val=""/>
      <w:lvlJc w:val="start"/>
      <w:pPr>
        <w:tabs>
          <w:tab w:val="num" w:pos="0"/>
        </w:tabs>
        <w:ind w:start="720" w:hanging="360"/>
      </w:pPr>
      <w:rPr>
        <w:rFonts w:ascii="Wingdings" w:hAnsi="Wingdings" w:cs="Wingdings" w:hint="default"/>
        <w:u w:val="none"/>
      </w:rPr>
    </w:lvl>
    <w:lvl w:ilvl="1">
      <w:start w:val="1"/>
      <w:numFmt w:val="bullet"/>
      <w:lvlText w:val=""/>
      <w:lvlJc w:val="start"/>
      <w:pPr>
        <w:tabs>
          <w:tab w:val="num" w:pos="0"/>
        </w:tabs>
        <w:ind w:start="1440" w:hanging="360"/>
      </w:pPr>
      <w:rPr>
        <w:rFonts w:ascii="Wingdings 2" w:hAnsi="Wingdings 2" w:cs="Wingdings 2" w:hint="default"/>
        <w:u w:val="none"/>
      </w:rPr>
    </w:lvl>
    <w:lvl w:ilvl="2">
      <w:start w:val="1"/>
      <w:numFmt w:val="bullet"/>
      <w:lvlText w:val="■"/>
      <w:lvlJc w:val="start"/>
      <w:pPr>
        <w:tabs>
          <w:tab w:val="num" w:pos="0"/>
        </w:tabs>
        <w:ind w:start="2160" w:hanging="360"/>
      </w:pPr>
      <w:rPr>
        <w:rFonts w:ascii="OpenSymbol" w:hAnsi="OpenSymbol" w:cs="OpenSymbol" w:hint="default"/>
        <w:u w:val="none"/>
      </w:rPr>
    </w:lvl>
    <w:lvl w:ilvl="3">
      <w:start w:val="1"/>
      <w:numFmt w:val="bullet"/>
      <w:lvlText w:val=""/>
      <w:lvlJc w:val="start"/>
      <w:pPr>
        <w:tabs>
          <w:tab w:val="num" w:pos="0"/>
        </w:tabs>
        <w:ind w:start="2880" w:hanging="360"/>
      </w:pPr>
      <w:rPr>
        <w:rFonts w:ascii="Wingdings" w:hAnsi="Wingdings" w:cs="Wingdings" w:hint="default"/>
        <w:u w:val="none"/>
      </w:rPr>
    </w:lvl>
    <w:lvl w:ilvl="4">
      <w:start w:val="1"/>
      <w:numFmt w:val="bullet"/>
      <w:lvlText w:val=""/>
      <w:lvlJc w:val="start"/>
      <w:pPr>
        <w:tabs>
          <w:tab w:val="num" w:pos="0"/>
        </w:tabs>
        <w:ind w:start="3600" w:hanging="360"/>
      </w:pPr>
      <w:rPr>
        <w:rFonts w:ascii="Wingdings 2" w:hAnsi="Wingdings 2" w:cs="Wingdings 2" w:hint="default"/>
        <w:u w:val="none"/>
      </w:rPr>
    </w:lvl>
    <w:lvl w:ilvl="5">
      <w:start w:val="1"/>
      <w:numFmt w:val="bullet"/>
      <w:lvlText w:val="■"/>
      <w:lvlJc w:val="start"/>
      <w:pPr>
        <w:tabs>
          <w:tab w:val="num" w:pos="0"/>
        </w:tabs>
        <w:ind w:start="4320" w:hanging="360"/>
      </w:pPr>
      <w:rPr>
        <w:rFonts w:ascii="OpenSymbol" w:hAnsi="OpenSymbol" w:cs="OpenSymbol" w:hint="default"/>
        <w:u w:val="none"/>
      </w:rPr>
    </w:lvl>
    <w:lvl w:ilvl="6">
      <w:start w:val="1"/>
      <w:numFmt w:val="bullet"/>
      <w:lvlText w:val=""/>
      <w:lvlJc w:val="start"/>
      <w:pPr>
        <w:tabs>
          <w:tab w:val="num" w:pos="0"/>
        </w:tabs>
        <w:ind w:start="5040" w:hanging="360"/>
      </w:pPr>
      <w:rPr>
        <w:rFonts w:ascii="Wingdings" w:hAnsi="Wingdings" w:cs="Wingdings" w:hint="default"/>
        <w:u w:val="none"/>
      </w:rPr>
    </w:lvl>
    <w:lvl w:ilvl="7">
      <w:start w:val="1"/>
      <w:numFmt w:val="bullet"/>
      <w:lvlText w:val=""/>
      <w:lvlJc w:val="start"/>
      <w:pPr>
        <w:tabs>
          <w:tab w:val="num" w:pos="0"/>
        </w:tabs>
        <w:ind w:start="5760" w:hanging="360"/>
      </w:pPr>
      <w:rPr>
        <w:rFonts w:ascii="Wingdings 2" w:hAnsi="Wingdings 2" w:cs="Wingdings 2" w:hint="default"/>
        <w:u w:val="none"/>
      </w:rPr>
    </w:lvl>
    <w:lvl w:ilvl="8">
      <w:start w:val="1"/>
      <w:numFmt w:val="bullet"/>
      <w:lvlText w:val="■"/>
      <w:lvlJc w:val="start"/>
      <w:pPr>
        <w:tabs>
          <w:tab w:val="num" w:pos="0"/>
        </w:tabs>
        <w:ind w:start="6480" w:hanging="360"/>
      </w:pPr>
      <w:rPr>
        <w:rFonts w:ascii="OpenSymbol" w:hAnsi="OpenSymbol" w:cs="OpenSymbol" w:hint="default"/>
        <w:u w:val="none"/>
      </w:rPr>
    </w:lvl>
  </w:abstractNum>
  <w:abstractNum w:abstractNumId="8">
    <w:lvl w:ilvl="0">
      <w:start w:val="1"/>
      <w:numFmt w:val="bullet"/>
      <w:lvlText w:val="-"/>
      <w:lvlJc w:val="start"/>
      <w:pPr>
        <w:tabs>
          <w:tab w:val="num" w:pos="0"/>
        </w:tabs>
        <w:ind w:start="720" w:hanging="360"/>
      </w:pPr>
      <w:rPr>
        <w:rFonts w:ascii="OpenSymbol" w:hAnsi="OpenSymbol" w:cs="OpenSymbol" w:hint="default"/>
        <w:u w:val="none"/>
      </w:rPr>
    </w:lvl>
    <w:lvl w:ilvl="1">
      <w:start w:val="1"/>
      <w:numFmt w:val="bullet"/>
      <w:lvlText w:val="-"/>
      <w:lvlJc w:val="start"/>
      <w:pPr>
        <w:tabs>
          <w:tab w:val="num" w:pos="0"/>
        </w:tabs>
        <w:ind w:start="1440" w:hanging="360"/>
      </w:pPr>
      <w:rPr>
        <w:rFonts w:ascii="OpenSymbol" w:hAnsi="OpenSymbol" w:cs="OpenSymbol" w:hint="default"/>
        <w:u w:val="none"/>
      </w:rPr>
    </w:lvl>
    <w:lvl w:ilvl="2">
      <w:start w:val="1"/>
      <w:numFmt w:val="bullet"/>
      <w:lvlText w:val="-"/>
      <w:lvlJc w:val="start"/>
      <w:pPr>
        <w:tabs>
          <w:tab w:val="num" w:pos="0"/>
        </w:tabs>
        <w:ind w:start="2160" w:hanging="360"/>
      </w:pPr>
      <w:rPr>
        <w:rFonts w:ascii="OpenSymbol" w:hAnsi="OpenSymbol" w:cs="OpenSymbol" w:hint="default"/>
        <w:u w:val="none"/>
      </w:rPr>
    </w:lvl>
    <w:lvl w:ilvl="3">
      <w:start w:val="1"/>
      <w:numFmt w:val="bullet"/>
      <w:lvlText w:val="-"/>
      <w:lvlJc w:val="start"/>
      <w:pPr>
        <w:tabs>
          <w:tab w:val="num" w:pos="0"/>
        </w:tabs>
        <w:ind w:start="2880" w:hanging="360"/>
      </w:pPr>
      <w:rPr>
        <w:rFonts w:ascii="OpenSymbol" w:hAnsi="OpenSymbol" w:cs="OpenSymbol" w:hint="default"/>
        <w:u w:val="none"/>
      </w:rPr>
    </w:lvl>
    <w:lvl w:ilvl="4">
      <w:start w:val="1"/>
      <w:numFmt w:val="bullet"/>
      <w:lvlText w:val="-"/>
      <w:lvlJc w:val="start"/>
      <w:pPr>
        <w:tabs>
          <w:tab w:val="num" w:pos="0"/>
        </w:tabs>
        <w:ind w:start="3600" w:hanging="360"/>
      </w:pPr>
      <w:rPr>
        <w:rFonts w:ascii="OpenSymbol" w:hAnsi="OpenSymbol" w:cs="OpenSymbol" w:hint="default"/>
        <w:u w:val="none"/>
      </w:rPr>
    </w:lvl>
    <w:lvl w:ilvl="5">
      <w:start w:val="1"/>
      <w:numFmt w:val="bullet"/>
      <w:lvlText w:val="-"/>
      <w:lvlJc w:val="start"/>
      <w:pPr>
        <w:tabs>
          <w:tab w:val="num" w:pos="0"/>
        </w:tabs>
        <w:ind w:start="4320" w:hanging="360"/>
      </w:pPr>
      <w:rPr>
        <w:rFonts w:ascii="OpenSymbol" w:hAnsi="OpenSymbol" w:cs="OpenSymbol" w:hint="default"/>
        <w:u w:val="none"/>
      </w:rPr>
    </w:lvl>
    <w:lvl w:ilvl="6">
      <w:start w:val="1"/>
      <w:numFmt w:val="bullet"/>
      <w:lvlText w:val="-"/>
      <w:lvlJc w:val="start"/>
      <w:pPr>
        <w:tabs>
          <w:tab w:val="num" w:pos="0"/>
        </w:tabs>
        <w:ind w:start="5040" w:hanging="360"/>
      </w:pPr>
      <w:rPr>
        <w:rFonts w:ascii="OpenSymbol" w:hAnsi="OpenSymbol" w:cs="OpenSymbol" w:hint="default"/>
        <w:u w:val="none"/>
      </w:rPr>
    </w:lvl>
    <w:lvl w:ilvl="7">
      <w:start w:val="1"/>
      <w:numFmt w:val="bullet"/>
      <w:lvlText w:val="-"/>
      <w:lvlJc w:val="start"/>
      <w:pPr>
        <w:tabs>
          <w:tab w:val="num" w:pos="0"/>
        </w:tabs>
        <w:ind w:start="5760" w:hanging="360"/>
      </w:pPr>
      <w:rPr>
        <w:rFonts w:ascii="OpenSymbol" w:hAnsi="OpenSymbol" w:cs="OpenSymbol" w:hint="default"/>
        <w:u w:val="none"/>
      </w:rPr>
    </w:lvl>
    <w:lvl w:ilvl="8">
      <w:start w:val="1"/>
      <w:numFmt w:val="bullet"/>
      <w:lvlText w:val="-"/>
      <w:lvlJc w:val="start"/>
      <w:pPr>
        <w:tabs>
          <w:tab w:val="num" w:pos="0"/>
        </w:tabs>
        <w:ind w:start="6480" w:hanging="360"/>
      </w:pPr>
      <w:rPr>
        <w:rFonts w:ascii="OpenSymbol" w:hAnsi="OpenSymbol" w:cs="OpenSymbol" w:hint="default"/>
        <w:u w:val="none"/>
      </w:rPr>
    </w:lvl>
  </w:abstractNum>
  <w:abstractNum w:abstractNumId="9">
    <w:lvl w:ilvl="0">
      <w:start w:val="1"/>
      <w:numFmt w:val="bullet"/>
      <w:lvlText w:val="-"/>
      <w:lvlJc w:val="start"/>
      <w:pPr>
        <w:tabs>
          <w:tab w:val="num" w:pos="0"/>
        </w:tabs>
        <w:ind w:start="720" w:hanging="360"/>
      </w:pPr>
      <w:rPr>
        <w:rFonts w:ascii="OpenSymbol" w:hAnsi="OpenSymbol" w:cs="OpenSymbol" w:hint="default"/>
        <w:u w:val="none"/>
      </w:rPr>
    </w:lvl>
    <w:lvl w:ilvl="1">
      <w:start w:val="1"/>
      <w:numFmt w:val="bullet"/>
      <w:lvlText w:val="-"/>
      <w:lvlJc w:val="start"/>
      <w:pPr>
        <w:tabs>
          <w:tab w:val="num" w:pos="0"/>
        </w:tabs>
        <w:ind w:start="1440" w:hanging="360"/>
      </w:pPr>
      <w:rPr>
        <w:rFonts w:ascii="OpenSymbol" w:hAnsi="OpenSymbol" w:cs="OpenSymbol" w:hint="default"/>
        <w:u w:val="none"/>
      </w:rPr>
    </w:lvl>
    <w:lvl w:ilvl="2">
      <w:start w:val="1"/>
      <w:numFmt w:val="bullet"/>
      <w:lvlText w:val="-"/>
      <w:lvlJc w:val="start"/>
      <w:pPr>
        <w:tabs>
          <w:tab w:val="num" w:pos="0"/>
        </w:tabs>
        <w:ind w:start="2160" w:hanging="360"/>
      </w:pPr>
      <w:rPr>
        <w:rFonts w:ascii="OpenSymbol" w:hAnsi="OpenSymbol" w:cs="OpenSymbol" w:hint="default"/>
        <w:u w:val="none"/>
      </w:rPr>
    </w:lvl>
    <w:lvl w:ilvl="3">
      <w:start w:val="1"/>
      <w:numFmt w:val="bullet"/>
      <w:lvlText w:val="-"/>
      <w:lvlJc w:val="start"/>
      <w:pPr>
        <w:tabs>
          <w:tab w:val="num" w:pos="0"/>
        </w:tabs>
        <w:ind w:start="2880" w:hanging="360"/>
      </w:pPr>
      <w:rPr>
        <w:rFonts w:ascii="OpenSymbol" w:hAnsi="OpenSymbol" w:cs="OpenSymbol" w:hint="default"/>
        <w:u w:val="none"/>
      </w:rPr>
    </w:lvl>
    <w:lvl w:ilvl="4">
      <w:start w:val="1"/>
      <w:numFmt w:val="bullet"/>
      <w:lvlText w:val="-"/>
      <w:lvlJc w:val="start"/>
      <w:pPr>
        <w:tabs>
          <w:tab w:val="num" w:pos="0"/>
        </w:tabs>
        <w:ind w:start="3600" w:hanging="360"/>
      </w:pPr>
      <w:rPr>
        <w:rFonts w:ascii="OpenSymbol" w:hAnsi="OpenSymbol" w:cs="OpenSymbol" w:hint="default"/>
        <w:u w:val="none"/>
      </w:rPr>
    </w:lvl>
    <w:lvl w:ilvl="5">
      <w:start w:val="1"/>
      <w:numFmt w:val="bullet"/>
      <w:lvlText w:val="-"/>
      <w:lvlJc w:val="start"/>
      <w:pPr>
        <w:tabs>
          <w:tab w:val="num" w:pos="0"/>
        </w:tabs>
        <w:ind w:start="4320" w:hanging="360"/>
      </w:pPr>
      <w:rPr>
        <w:rFonts w:ascii="OpenSymbol" w:hAnsi="OpenSymbol" w:cs="OpenSymbol" w:hint="default"/>
        <w:u w:val="none"/>
      </w:rPr>
    </w:lvl>
    <w:lvl w:ilvl="6">
      <w:start w:val="1"/>
      <w:numFmt w:val="bullet"/>
      <w:lvlText w:val="-"/>
      <w:lvlJc w:val="start"/>
      <w:pPr>
        <w:tabs>
          <w:tab w:val="num" w:pos="0"/>
        </w:tabs>
        <w:ind w:start="5040" w:hanging="360"/>
      </w:pPr>
      <w:rPr>
        <w:rFonts w:ascii="OpenSymbol" w:hAnsi="OpenSymbol" w:cs="OpenSymbol" w:hint="default"/>
        <w:u w:val="none"/>
      </w:rPr>
    </w:lvl>
    <w:lvl w:ilvl="7">
      <w:start w:val="1"/>
      <w:numFmt w:val="bullet"/>
      <w:lvlText w:val="-"/>
      <w:lvlJc w:val="start"/>
      <w:pPr>
        <w:tabs>
          <w:tab w:val="num" w:pos="0"/>
        </w:tabs>
        <w:ind w:start="5760" w:hanging="360"/>
      </w:pPr>
      <w:rPr>
        <w:rFonts w:ascii="OpenSymbol" w:hAnsi="OpenSymbol" w:cs="OpenSymbol" w:hint="default"/>
        <w:u w:val="none"/>
      </w:rPr>
    </w:lvl>
    <w:lvl w:ilvl="8">
      <w:start w:val="1"/>
      <w:numFmt w:val="bullet"/>
      <w:lvlText w:val="-"/>
      <w:lvlJc w:val="start"/>
      <w:pPr>
        <w:tabs>
          <w:tab w:val="num" w:pos="0"/>
        </w:tabs>
        <w:ind w:start="6480" w:hanging="360"/>
      </w:pPr>
      <w:rPr>
        <w:rFonts w:ascii="OpenSymbol" w:hAnsi="OpenSymbol" w:cs="OpenSymbol" w:hint="default"/>
        <w:u w:val="none"/>
      </w:rPr>
    </w:lvl>
  </w:abstractNum>
  <w:abstractNum w:abstractNumId="10">
    <w:lvl w:ilvl="0">
      <w:start w:val="1"/>
      <w:numFmt w:val="bullet"/>
      <w:lvlText w:val=""/>
      <w:lvlJc w:val="start"/>
      <w:pPr>
        <w:tabs>
          <w:tab w:val="num" w:pos="0"/>
        </w:tabs>
        <w:ind w:start="720" w:hanging="360"/>
      </w:pPr>
      <w:rPr>
        <w:rFonts w:ascii="Wingdings" w:hAnsi="Wingdings" w:cs="Wingdings" w:hint="default"/>
        <w:u w:val="none"/>
      </w:rPr>
    </w:lvl>
    <w:lvl w:ilvl="1">
      <w:start w:val="1"/>
      <w:numFmt w:val="bullet"/>
      <w:lvlText w:val=""/>
      <w:lvlJc w:val="start"/>
      <w:pPr>
        <w:tabs>
          <w:tab w:val="num" w:pos="0"/>
        </w:tabs>
        <w:ind w:start="1440" w:hanging="360"/>
      </w:pPr>
      <w:rPr>
        <w:rFonts w:ascii="Wingdings 2" w:hAnsi="Wingdings 2" w:cs="Wingdings 2" w:hint="default"/>
        <w:u w:val="none"/>
      </w:rPr>
    </w:lvl>
    <w:lvl w:ilvl="2">
      <w:start w:val="1"/>
      <w:numFmt w:val="bullet"/>
      <w:lvlText w:val="■"/>
      <w:lvlJc w:val="start"/>
      <w:pPr>
        <w:tabs>
          <w:tab w:val="num" w:pos="0"/>
        </w:tabs>
        <w:ind w:start="2160" w:hanging="360"/>
      </w:pPr>
      <w:rPr>
        <w:rFonts w:ascii="OpenSymbol" w:hAnsi="OpenSymbol" w:cs="OpenSymbol" w:hint="default"/>
        <w:u w:val="none"/>
      </w:rPr>
    </w:lvl>
    <w:lvl w:ilvl="3">
      <w:start w:val="1"/>
      <w:numFmt w:val="bullet"/>
      <w:lvlText w:val=""/>
      <w:lvlJc w:val="start"/>
      <w:pPr>
        <w:tabs>
          <w:tab w:val="num" w:pos="0"/>
        </w:tabs>
        <w:ind w:start="2880" w:hanging="360"/>
      </w:pPr>
      <w:rPr>
        <w:rFonts w:ascii="Wingdings" w:hAnsi="Wingdings" w:cs="Wingdings" w:hint="default"/>
        <w:u w:val="none"/>
      </w:rPr>
    </w:lvl>
    <w:lvl w:ilvl="4">
      <w:start w:val="1"/>
      <w:numFmt w:val="bullet"/>
      <w:lvlText w:val=""/>
      <w:lvlJc w:val="start"/>
      <w:pPr>
        <w:tabs>
          <w:tab w:val="num" w:pos="0"/>
        </w:tabs>
        <w:ind w:start="3600" w:hanging="360"/>
      </w:pPr>
      <w:rPr>
        <w:rFonts w:ascii="Wingdings 2" w:hAnsi="Wingdings 2" w:cs="Wingdings 2" w:hint="default"/>
        <w:u w:val="none"/>
      </w:rPr>
    </w:lvl>
    <w:lvl w:ilvl="5">
      <w:start w:val="1"/>
      <w:numFmt w:val="bullet"/>
      <w:lvlText w:val="■"/>
      <w:lvlJc w:val="start"/>
      <w:pPr>
        <w:tabs>
          <w:tab w:val="num" w:pos="0"/>
        </w:tabs>
        <w:ind w:start="4320" w:hanging="360"/>
      </w:pPr>
      <w:rPr>
        <w:rFonts w:ascii="OpenSymbol" w:hAnsi="OpenSymbol" w:cs="OpenSymbol" w:hint="default"/>
        <w:u w:val="none"/>
      </w:rPr>
    </w:lvl>
    <w:lvl w:ilvl="6">
      <w:start w:val="1"/>
      <w:numFmt w:val="bullet"/>
      <w:lvlText w:val=""/>
      <w:lvlJc w:val="start"/>
      <w:pPr>
        <w:tabs>
          <w:tab w:val="num" w:pos="0"/>
        </w:tabs>
        <w:ind w:start="5040" w:hanging="360"/>
      </w:pPr>
      <w:rPr>
        <w:rFonts w:ascii="Wingdings" w:hAnsi="Wingdings" w:cs="Wingdings" w:hint="default"/>
        <w:u w:val="none"/>
      </w:rPr>
    </w:lvl>
    <w:lvl w:ilvl="7">
      <w:start w:val="1"/>
      <w:numFmt w:val="bullet"/>
      <w:lvlText w:val=""/>
      <w:lvlJc w:val="start"/>
      <w:pPr>
        <w:tabs>
          <w:tab w:val="num" w:pos="0"/>
        </w:tabs>
        <w:ind w:start="5760" w:hanging="360"/>
      </w:pPr>
      <w:rPr>
        <w:rFonts w:ascii="Wingdings 2" w:hAnsi="Wingdings 2" w:cs="Wingdings 2" w:hint="default"/>
        <w:u w:val="none"/>
      </w:rPr>
    </w:lvl>
    <w:lvl w:ilvl="8">
      <w:start w:val="1"/>
      <w:numFmt w:val="bullet"/>
      <w:lvlText w:val="■"/>
      <w:lvlJc w:val="start"/>
      <w:pPr>
        <w:tabs>
          <w:tab w:val="num" w:pos="0"/>
        </w:tabs>
        <w:ind w:start="6480" w:hanging="360"/>
      </w:pPr>
      <w:rPr>
        <w:rFonts w:ascii="OpenSymbol" w:hAnsi="OpenSymbol" w:cs="OpenSymbol" w:hint="default"/>
        <w:u w:val="none"/>
      </w:rPr>
    </w:lvl>
  </w:abstractNum>
  <w:abstractNum w:abstractNumId="11">
    <w:lvl w:ilvl="0">
      <w:start w:val="1"/>
      <w:numFmt w:val="bullet"/>
      <w:lvlText w:val=""/>
      <w:lvlJc w:val="start"/>
      <w:pPr>
        <w:tabs>
          <w:tab w:val="num" w:pos="0"/>
        </w:tabs>
        <w:ind w:start="720" w:hanging="360"/>
      </w:pPr>
      <w:rPr>
        <w:rFonts w:ascii="Wingdings" w:hAnsi="Wingdings" w:cs="Wingdings" w:hint="default"/>
        <w:u w:val="none"/>
      </w:rPr>
    </w:lvl>
    <w:lvl w:ilvl="1">
      <w:start w:val="1"/>
      <w:numFmt w:val="bullet"/>
      <w:lvlText w:val=""/>
      <w:lvlJc w:val="start"/>
      <w:pPr>
        <w:tabs>
          <w:tab w:val="num" w:pos="0"/>
        </w:tabs>
        <w:ind w:start="1440" w:hanging="360"/>
      </w:pPr>
      <w:rPr>
        <w:rFonts w:ascii="Wingdings 2" w:hAnsi="Wingdings 2" w:cs="Wingdings 2" w:hint="default"/>
        <w:u w:val="none"/>
      </w:rPr>
    </w:lvl>
    <w:lvl w:ilvl="2">
      <w:start w:val="1"/>
      <w:numFmt w:val="bullet"/>
      <w:lvlText w:val="■"/>
      <w:lvlJc w:val="start"/>
      <w:pPr>
        <w:tabs>
          <w:tab w:val="num" w:pos="0"/>
        </w:tabs>
        <w:ind w:start="2160" w:hanging="360"/>
      </w:pPr>
      <w:rPr>
        <w:rFonts w:ascii="OpenSymbol" w:hAnsi="OpenSymbol" w:cs="OpenSymbol" w:hint="default"/>
        <w:u w:val="none"/>
      </w:rPr>
    </w:lvl>
    <w:lvl w:ilvl="3">
      <w:start w:val="1"/>
      <w:numFmt w:val="bullet"/>
      <w:lvlText w:val=""/>
      <w:lvlJc w:val="start"/>
      <w:pPr>
        <w:tabs>
          <w:tab w:val="num" w:pos="0"/>
        </w:tabs>
        <w:ind w:start="2880" w:hanging="360"/>
      </w:pPr>
      <w:rPr>
        <w:rFonts w:ascii="Wingdings" w:hAnsi="Wingdings" w:cs="Wingdings" w:hint="default"/>
        <w:u w:val="none"/>
      </w:rPr>
    </w:lvl>
    <w:lvl w:ilvl="4">
      <w:start w:val="1"/>
      <w:numFmt w:val="bullet"/>
      <w:lvlText w:val=""/>
      <w:lvlJc w:val="start"/>
      <w:pPr>
        <w:tabs>
          <w:tab w:val="num" w:pos="0"/>
        </w:tabs>
        <w:ind w:start="3600" w:hanging="360"/>
      </w:pPr>
      <w:rPr>
        <w:rFonts w:ascii="Wingdings 2" w:hAnsi="Wingdings 2" w:cs="Wingdings 2" w:hint="default"/>
        <w:u w:val="none"/>
      </w:rPr>
    </w:lvl>
    <w:lvl w:ilvl="5">
      <w:start w:val="1"/>
      <w:numFmt w:val="bullet"/>
      <w:lvlText w:val="■"/>
      <w:lvlJc w:val="start"/>
      <w:pPr>
        <w:tabs>
          <w:tab w:val="num" w:pos="0"/>
        </w:tabs>
        <w:ind w:start="4320" w:hanging="360"/>
      </w:pPr>
      <w:rPr>
        <w:rFonts w:ascii="OpenSymbol" w:hAnsi="OpenSymbol" w:cs="OpenSymbol" w:hint="default"/>
        <w:u w:val="none"/>
      </w:rPr>
    </w:lvl>
    <w:lvl w:ilvl="6">
      <w:start w:val="1"/>
      <w:numFmt w:val="bullet"/>
      <w:lvlText w:val=""/>
      <w:lvlJc w:val="start"/>
      <w:pPr>
        <w:tabs>
          <w:tab w:val="num" w:pos="0"/>
        </w:tabs>
        <w:ind w:start="5040" w:hanging="360"/>
      </w:pPr>
      <w:rPr>
        <w:rFonts w:ascii="Wingdings" w:hAnsi="Wingdings" w:cs="Wingdings" w:hint="default"/>
        <w:u w:val="none"/>
      </w:rPr>
    </w:lvl>
    <w:lvl w:ilvl="7">
      <w:start w:val="1"/>
      <w:numFmt w:val="bullet"/>
      <w:lvlText w:val=""/>
      <w:lvlJc w:val="start"/>
      <w:pPr>
        <w:tabs>
          <w:tab w:val="num" w:pos="0"/>
        </w:tabs>
        <w:ind w:start="5760" w:hanging="360"/>
      </w:pPr>
      <w:rPr>
        <w:rFonts w:ascii="Wingdings 2" w:hAnsi="Wingdings 2" w:cs="Wingdings 2" w:hint="default"/>
        <w:u w:val="none"/>
      </w:rPr>
    </w:lvl>
    <w:lvl w:ilvl="8">
      <w:start w:val="1"/>
      <w:numFmt w:val="bullet"/>
      <w:lvlText w:val="■"/>
      <w:lvlJc w:val="start"/>
      <w:pPr>
        <w:tabs>
          <w:tab w:val="num" w:pos="0"/>
        </w:tabs>
        <w:ind w:start="6480" w:hanging="360"/>
      </w:pPr>
      <w:rPr>
        <w:rFonts w:ascii="OpenSymbol" w:hAnsi="OpenSymbol" w:cs="OpenSymbol" w:hint="default"/>
        <w:u w:val="none"/>
      </w:rPr>
    </w:lvl>
  </w:abstractNum>
  <w:abstractNum w:abstractNumId="12">
    <w:lvl w:ilvl="0">
      <w:start w:val="1"/>
      <w:numFmt w:val="bullet"/>
      <w:lvlText w:val=""/>
      <w:lvlJc w:val="start"/>
      <w:pPr>
        <w:tabs>
          <w:tab w:val="num" w:pos="0"/>
        </w:tabs>
        <w:ind w:start="720" w:hanging="360"/>
      </w:pPr>
      <w:rPr>
        <w:rFonts w:ascii="Wingdings" w:hAnsi="Wingdings" w:cs="Wingdings" w:hint="default"/>
        <w:u w:val="none"/>
      </w:rPr>
    </w:lvl>
    <w:lvl w:ilvl="1">
      <w:start w:val="1"/>
      <w:numFmt w:val="bullet"/>
      <w:lvlText w:val=""/>
      <w:lvlJc w:val="start"/>
      <w:pPr>
        <w:tabs>
          <w:tab w:val="num" w:pos="0"/>
        </w:tabs>
        <w:ind w:start="1440" w:hanging="360"/>
      </w:pPr>
      <w:rPr>
        <w:rFonts w:ascii="Wingdings 2" w:hAnsi="Wingdings 2" w:cs="Wingdings 2" w:hint="default"/>
        <w:u w:val="none"/>
      </w:rPr>
    </w:lvl>
    <w:lvl w:ilvl="2">
      <w:start w:val="1"/>
      <w:numFmt w:val="bullet"/>
      <w:lvlText w:val="■"/>
      <w:lvlJc w:val="start"/>
      <w:pPr>
        <w:tabs>
          <w:tab w:val="num" w:pos="0"/>
        </w:tabs>
        <w:ind w:start="2160" w:hanging="360"/>
      </w:pPr>
      <w:rPr>
        <w:rFonts w:ascii="OpenSymbol" w:hAnsi="OpenSymbol" w:cs="OpenSymbol" w:hint="default"/>
        <w:u w:val="none"/>
      </w:rPr>
    </w:lvl>
    <w:lvl w:ilvl="3">
      <w:start w:val="1"/>
      <w:numFmt w:val="bullet"/>
      <w:lvlText w:val=""/>
      <w:lvlJc w:val="start"/>
      <w:pPr>
        <w:tabs>
          <w:tab w:val="num" w:pos="0"/>
        </w:tabs>
        <w:ind w:start="2880" w:hanging="360"/>
      </w:pPr>
      <w:rPr>
        <w:rFonts w:ascii="Wingdings" w:hAnsi="Wingdings" w:cs="Wingdings" w:hint="default"/>
        <w:u w:val="none"/>
      </w:rPr>
    </w:lvl>
    <w:lvl w:ilvl="4">
      <w:start w:val="1"/>
      <w:numFmt w:val="bullet"/>
      <w:lvlText w:val=""/>
      <w:lvlJc w:val="start"/>
      <w:pPr>
        <w:tabs>
          <w:tab w:val="num" w:pos="0"/>
        </w:tabs>
        <w:ind w:start="3600" w:hanging="360"/>
      </w:pPr>
      <w:rPr>
        <w:rFonts w:ascii="Wingdings 2" w:hAnsi="Wingdings 2" w:cs="Wingdings 2" w:hint="default"/>
        <w:u w:val="none"/>
      </w:rPr>
    </w:lvl>
    <w:lvl w:ilvl="5">
      <w:start w:val="1"/>
      <w:numFmt w:val="bullet"/>
      <w:lvlText w:val="■"/>
      <w:lvlJc w:val="start"/>
      <w:pPr>
        <w:tabs>
          <w:tab w:val="num" w:pos="0"/>
        </w:tabs>
        <w:ind w:start="4320" w:hanging="360"/>
      </w:pPr>
      <w:rPr>
        <w:rFonts w:ascii="OpenSymbol" w:hAnsi="OpenSymbol" w:cs="OpenSymbol" w:hint="default"/>
        <w:u w:val="none"/>
      </w:rPr>
    </w:lvl>
    <w:lvl w:ilvl="6">
      <w:start w:val="1"/>
      <w:numFmt w:val="bullet"/>
      <w:lvlText w:val=""/>
      <w:lvlJc w:val="start"/>
      <w:pPr>
        <w:tabs>
          <w:tab w:val="num" w:pos="0"/>
        </w:tabs>
        <w:ind w:start="5040" w:hanging="360"/>
      </w:pPr>
      <w:rPr>
        <w:rFonts w:ascii="Wingdings" w:hAnsi="Wingdings" w:cs="Wingdings" w:hint="default"/>
        <w:u w:val="none"/>
      </w:rPr>
    </w:lvl>
    <w:lvl w:ilvl="7">
      <w:start w:val="1"/>
      <w:numFmt w:val="bullet"/>
      <w:lvlText w:val=""/>
      <w:lvlJc w:val="start"/>
      <w:pPr>
        <w:tabs>
          <w:tab w:val="num" w:pos="0"/>
        </w:tabs>
        <w:ind w:start="5760" w:hanging="360"/>
      </w:pPr>
      <w:rPr>
        <w:rFonts w:ascii="Wingdings 2" w:hAnsi="Wingdings 2" w:cs="Wingdings 2" w:hint="default"/>
        <w:u w:val="none"/>
      </w:rPr>
    </w:lvl>
    <w:lvl w:ilvl="8">
      <w:start w:val="1"/>
      <w:numFmt w:val="bullet"/>
      <w:lvlText w:val="■"/>
      <w:lvlJc w:val="start"/>
      <w:pPr>
        <w:tabs>
          <w:tab w:val="num" w:pos="0"/>
        </w:tabs>
        <w:ind w:start="6480" w:hanging="360"/>
      </w:pPr>
      <w:rPr>
        <w:rFonts w:ascii="OpenSymbol" w:hAnsi="OpenSymbol" w:cs="OpenSymbol" w:hint="default"/>
        <w:u w:val="none"/>
      </w:rPr>
    </w:lvl>
  </w:abstractNum>
  <w:abstractNum w:abstractNumId="13">
    <w:lvl w:ilvl="0">
      <w:start w:val="1"/>
      <w:numFmt w:val="bullet"/>
      <w:lvlText w:val=""/>
      <w:lvlJc w:val="start"/>
      <w:pPr>
        <w:tabs>
          <w:tab w:val="num" w:pos="0"/>
        </w:tabs>
        <w:ind w:start="720" w:hanging="360"/>
      </w:pPr>
      <w:rPr>
        <w:rFonts w:ascii="Wingdings" w:hAnsi="Wingdings" w:cs="Wingdings" w:hint="default"/>
        <w:u w:val="none"/>
      </w:rPr>
    </w:lvl>
    <w:lvl w:ilvl="1">
      <w:start w:val="1"/>
      <w:numFmt w:val="bullet"/>
      <w:lvlText w:val=""/>
      <w:lvlJc w:val="start"/>
      <w:pPr>
        <w:tabs>
          <w:tab w:val="num" w:pos="0"/>
        </w:tabs>
        <w:ind w:start="1440" w:hanging="360"/>
      </w:pPr>
      <w:rPr>
        <w:rFonts w:ascii="Wingdings 2" w:hAnsi="Wingdings 2" w:cs="Wingdings 2" w:hint="default"/>
        <w:u w:val="none"/>
      </w:rPr>
    </w:lvl>
    <w:lvl w:ilvl="2">
      <w:start w:val="1"/>
      <w:numFmt w:val="bullet"/>
      <w:lvlText w:val="■"/>
      <w:lvlJc w:val="start"/>
      <w:pPr>
        <w:tabs>
          <w:tab w:val="num" w:pos="0"/>
        </w:tabs>
        <w:ind w:start="2160" w:hanging="360"/>
      </w:pPr>
      <w:rPr>
        <w:rFonts w:ascii="OpenSymbol" w:hAnsi="OpenSymbol" w:cs="OpenSymbol" w:hint="default"/>
        <w:u w:val="none"/>
      </w:rPr>
    </w:lvl>
    <w:lvl w:ilvl="3">
      <w:start w:val="1"/>
      <w:numFmt w:val="bullet"/>
      <w:lvlText w:val=""/>
      <w:lvlJc w:val="start"/>
      <w:pPr>
        <w:tabs>
          <w:tab w:val="num" w:pos="0"/>
        </w:tabs>
        <w:ind w:start="2880" w:hanging="360"/>
      </w:pPr>
      <w:rPr>
        <w:rFonts w:ascii="Wingdings" w:hAnsi="Wingdings" w:cs="Wingdings" w:hint="default"/>
        <w:u w:val="none"/>
      </w:rPr>
    </w:lvl>
    <w:lvl w:ilvl="4">
      <w:start w:val="1"/>
      <w:numFmt w:val="bullet"/>
      <w:lvlText w:val=""/>
      <w:lvlJc w:val="start"/>
      <w:pPr>
        <w:tabs>
          <w:tab w:val="num" w:pos="0"/>
        </w:tabs>
        <w:ind w:start="3600" w:hanging="360"/>
      </w:pPr>
      <w:rPr>
        <w:rFonts w:ascii="Wingdings 2" w:hAnsi="Wingdings 2" w:cs="Wingdings 2" w:hint="default"/>
        <w:u w:val="none"/>
      </w:rPr>
    </w:lvl>
    <w:lvl w:ilvl="5">
      <w:start w:val="1"/>
      <w:numFmt w:val="bullet"/>
      <w:lvlText w:val="■"/>
      <w:lvlJc w:val="start"/>
      <w:pPr>
        <w:tabs>
          <w:tab w:val="num" w:pos="0"/>
        </w:tabs>
        <w:ind w:start="4320" w:hanging="360"/>
      </w:pPr>
      <w:rPr>
        <w:rFonts w:ascii="OpenSymbol" w:hAnsi="OpenSymbol" w:cs="OpenSymbol" w:hint="default"/>
        <w:u w:val="none"/>
      </w:rPr>
    </w:lvl>
    <w:lvl w:ilvl="6">
      <w:start w:val="1"/>
      <w:numFmt w:val="bullet"/>
      <w:lvlText w:val=""/>
      <w:lvlJc w:val="start"/>
      <w:pPr>
        <w:tabs>
          <w:tab w:val="num" w:pos="0"/>
        </w:tabs>
        <w:ind w:start="5040" w:hanging="360"/>
      </w:pPr>
      <w:rPr>
        <w:rFonts w:ascii="Wingdings" w:hAnsi="Wingdings" w:cs="Wingdings" w:hint="default"/>
        <w:u w:val="none"/>
      </w:rPr>
    </w:lvl>
    <w:lvl w:ilvl="7">
      <w:start w:val="1"/>
      <w:numFmt w:val="bullet"/>
      <w:lvlText w:val=""/>
      <w:lvlJc w:val="start"/>
      <w:pPr>
        <w:tabs>
          <w:tab w:val="num" w:pos="0"/>
        </w:tabs>
        <w:ind w:start="5760" w:hanging="360"/>
      </w:pPr>
      <w:rPr>
        <w:rFonts w:ascii="Wingdings 2" w:hAnsi="Wingdings 2" w:cs="Wingdings 2" w:hint="default"/>
        <w:u w:val="none"/>
      </w:rPr>
    </w:lvl>
    <w:lvl w:ilvl="8">
      <w:start w:val="1"/>
      <w:numFmt w:val="bullet"/>
      <w:lvlText w:val="■"/>
      <w:lvlJc w:val="start"/>
      <w:pPr>
        <w:tabs>
          <w:tab w:val="num" w:pos="0"/>
        </w:tabs>
        <w:ind w:start="6480" w:hanging="360"/>
      </w:pPr>
      <w:rPr>
        <w:rFonts w:ascii="OpenSymbol" w:hAnsi="OpenSymbol" w:cs="OpenSymbol" w:hint="default"/>
        <w:u w:val="none"/>
      </w:rPr>
    </w:lvl>
  </w:abstractNum>
  <w:abstractNum w:abstractNumId="14">
    <w:lvl w:ilvl="0">
      <w:start w:val="1"/>
      <w:numFmt w:val="bullet"/>
      <w:lvlText w:val=""/>
      <w:lvlJc w:val="start"/>
      <w:pPr>
        <w:tabs>
          <w:tab w:val="num" w:pos="0"/>
        </w:tabs>
        <w:ind w:start="720" w:hanging="360"/>
      </w:pPr>
      <w:rPr>
        <w:rFonts w:ascii="Wingdings" w:hAnsi="Wingdings" w:cs="Wingdings" w:hint="default"/>
        <w:u w:val="none"/>
      </w:rPr>
    </w:lvl>
    <w:lvl w:ilvl="1">
      <w:start w:val="1"/>
      <w:numFmt w:val="bullet"/>
      <w:lvlText w:val=""/>
      <w:lvlJc w:val="start"/>
      <w:pPr>
        <w:tabs>
          <w:tab w:val="num" w:pos="0"/>
        </w:tabs>
        <w:ind w:start="1440" w:hanging="360"/>
      </w:pPr>
      <w:rPr>
        <w:rFonts w:ascii="Wingdings 2" w:hAnsi="Wingdings 2" w:cs="Wingdings 2" w:hint="default"/>
        <w:u w:val="none"/>
      </w:rPr>
    </w:lvl>
    <w:lvl w:ilvl="2">
      <w:start w:val="1"/>
      <w:numFmt w:val="bullet"/>
      <w:lvlText w:val="■"/>
      <w:lvlJc w:val="start"/>
      <w:pPr>
        <w:tabs>
          <w:tab w:val="num" w:pos="0"/>
        </w:tabs>
        <w:ind w:start="2160" w:hanging="360"/>
      </w:pPr>
      <w:rPr>
        <w:rFonts w:ascii="OpenSymbol" w:hAnsi="OpenSymbol" w:cs="OpenSymbol" w:hint="default"/>
        <w:u w:val="none"/>
      </w:rPr>
    </w:lvl>
    <w:lvl w:ilvl="3">
      <w:start w:val="1"/>
      <w:numFmt w:val="bullet"/>
      <w:lvlText w:val=""/>
      <w:lvlJc w:val="start"/>
      <w:pPr>
        <w:tabs>
          <w:tab w:val="num" w:pos="0"/>
        </w:tabs>
        <w:ind w:start="2880" w:hanging="360"/>
      </w:pPr>
      <w:rPr>
        <w:rFonts w:ascii="Wingdings" w:hAnsi="Wingdings" w:cs="Wingdings" w:hint="default"/>
        <w:u w:val="none"/>
      </w:rPr>
    </w:lvl>
    <w:lvl w:ilvl="4">
      <w:start w:val="1"/>
      <w:numFmt w:val="bullet"/>
      <w:lvlText w:val=""/>
      <w:lvlJc w:val="start"/>
      <w:pPr>
        <w:tabs>
          <w:tab w:val="num" w:pos="0"/>
        </w:tabs>
        <w:ind w:start="3600" w:hanging="360"/>
      </w:pPr>
      <w:rPr>
        <w:rFonts w:ascii="Wingdings 2" w:hAnsi="Wingdings 2" w:cs="Wingdings 2" w:hint="default"/>
        <w:u w:val="none"/>
      </w:rPr>
    </w:lvl>
    <w:lvl w:ilvl="5">
      <w:start w:val="1"/>
      <w:numFmt w:val="bullet"/>
      <w:lvlText w:val="■"/>
      <w:lvlJc w:val="start"/>
      <w:pPr>
        <w:tabs>
          <w:tab w:val="num" w:pos="0"/>
        </w:tabs>
        <w:ind w:start="4320" w:hanging="360"/>
      </w:pPr>
      <w:rPr>
        <w:rFonts w:ascii="OpenSymbol" w:hAnsi="OpenSymbol" w:cs="OpenSymbol" w:hint="default"/>
        <w:u w:val="none"/>
      </w:rPr>
    </w:lvl>
    <w:lvl w:ilvl="6">
      <w:start w:val="1"/>
      <w:numFmt w:val="bullet"/>
      <w:lvlText w:val=""/>
      <w:lvlJc w:val="start"/>
      <w:pPr>
        <w:tabs>
          <w:tab w:val="num" w:pos="0"/>
        </w:tabs>
        <w:ind w:start="5040" w:hanging="360"/>
      </w:pPr>
      <w:rPr>
        <w:rFonts w:ascii="Wingdings" w:hAnsi="Wingdings" w:cs="Wingdings" w:hint="default"/>
        <w:u w:val="none"/>
      </w:rPr>
    </w:lvl>
    <w:lvl w:ilvl="7">
      <w:start w:val="1"/>
      <w:numFmt w:val="bullet"/>
      <w:lvlText w:val=""/>
      <w:lvlJc w:val="start"/>
      <w:pPr>
        <w:tabs>
          <w:tab w:val="num" w:pos="0"/>
        </w:tabs>
        <w:ind w:start="5760" w:hanging="360"/>
      </w:pPr>
      <w:rPr>
        <w:rFonts w:ascii="Wingdings 2" w:hAnsi="Wingdings 2" w:cs="Wingdings 2" w:hint="default"/>
        <w:u w:val="none"/>
      </w:rPr>
    </w:lvl>
    <w:lvl w:ilvl="8">
      <w:start w:val="1"/>
      <w:numFmt w:val="bullet"/>
      <w:lvlText w:val="■"/>
      <w:lvlJc w:val="start"/>
      <w:pPr>
        <w:tabs>
          <w:tab w:val="num" w:pos="0"/>
        </w:tabs>
        <w:ind w:start="6480" w:hanging="360"/>
      </w:pPr>
      <w:rPr>
        <w:rFonts w:ascii="OpenSymbol" w:hAnsi="OpenSymbol" w:cs="OpenSymbol" w:hint="default"/>
        <w:u w:val="none"/>
      </w:rPr>
    </w:lvl>
  </w:abstractNum>
  <w:abstractNum w:abstractNumId="15">
    <w:lvl w:ilvl="0">
      <w:start w:val="1"/>
      <w:numFmt w:val="bullet"/>
      <w:lvlText w:val=""/>
      <w:lvlJc w:val="start"/>
      <w:pPr>
        <w:tabs>
          <w:tab w:val="num" w:pos="0"/>
        </w:tabs>
        <w:ind w:start="720" w:hanging="360"/>
      </w:pPr>
      <w:rPr>
        <w:rFonts w:ascii="Wingdings" w:hAnsi="Wingdings" w:cs="Wingdings" w:hint="default"/>
        <w:u w:val="none"/>
      </w:rPr>
    </w:lvl>
    <w:lvl w:ilvl="1">
      <w:start w:val="1"/>
      <w:numFmt w:val="bullet"/>
      <w:lvlText w:val=""/>
      <w:lvlJc w:val="start"/>
      <w:pPr>
        <w:tabs>
          <w:tab w:val="num" w:pos="0"/>
        </w:tabs>
        <w:ind w:start="1440" w:hanging="360"/>
      </w:pPr>
      <w:rPr>
        <w:rFonts w:ascii="Wingdings 2" w:hAnsi="Wingdings 2" w:cs="Wingdings 2" w:hint="default"/>
        <w:u w:val="none"/>
      </w:rPr>
    </w:lvl>
    <w:lvl w:ilvl="2">
      <w:start w:val="1"/>
      <w:numFmt w:val="bullet"/>
      <w:lvlText w:val="■"/>
      <w:lvlJc w:val="start"/>
      <w:pPr>
        <w:tabs>
          <w:tab w:val="num" w:pos="0"/>
        </w:tabs>
        <w:ind w:start="2160" w:hanging="360"/>
      </w:pPr>
      <w:rPr>
        <w:rFonts w:ascii="OpenSymbol" w:hAnsi="OpenSymbol" w:cs="OpenSymbol" w:hint="default"/>
        <w:u w:val="none"/>
      </w:rPr>
    </w:lvl>
    <w:lvl w:ilvl="3">
      <w:start w:val="1"/>
      <w:numFmt w:val="bullet"/>
      <w:lvlText w:val=""/>
      <w:lvlJc w:val="start"/>
      <w:pPr>
        <w:tabs>
          <w:tab w:val="num" w:pos="0"/>
        </w:tabs>
        <w:ind w:start="2880" w:hanging="360"/>
      </w:pPr>
      <w:rPr>
        <w:rFonts w:ascii="Wingdings" w:hAnsi="Wingdings" w:cs="Wingdings" w:hint="default"/>
        <w:u w:val="none"/>
      </w:rPr>
    </w:lvl>
    <w:lvl w:ilvl="4">
      <w:start w:val="1"/>
      <w:numFmt w:val="bullet"/>
      <w:lvlText w:val=""/>
      <w:lvlJc w:val="start"/>
      <w:pPr>
        <w:tabs>
          <w:tab w:val="num" w:pos="0"/>
        </w:tabs>
        <w:ind w:start="3600" w:hanging="360"/>
      </w:pPr>
      <w:rPr>
        <w:rFonts w:ascii="Wingdings 2" w:hAnsi="Wingdings 2" w:cs="Wingdings 2" w:hint="default"/>
        <w:u w:val="none"/>
      </w:rPr>
    </w:lvl>
    <w:lvl w:ilvl="5">
      <w:start w:val="1"/>
      <w:numFmt w:val="bullet"/>
      <w:lvlText w:val="■"/>
      <w:lvlJc w:val="start"/>
      <w:pPr>
        <w:tabs>
          <w:tab w:val="num" w:pos="0"/>
        </w:tabs>
        <w:ind w:start="4320" w:hanging="360"/>
      </w:pPr>
      <w:rPr>
        <w:rFonts w:ascii="OpenSymbol" w:hAnsi="OpenSymbol" w:cs="OpenSymbol" w:hint="default"/>
        <w:u w:val="none"/>
      </w:rPr>
    </w:lvl>
    <w:lvl w:ilvl="6">
      <w:start w:val="1"/>
      <w:numFmt w:val="bullet"/>
      <w:lvlText w:val=""/>
      <w:lvlJc w:val="start"/>
      <w:pPr>
        <w:tabs>
          <w:tab w:val="num" w:pos="0"/>
        </w:tabs>
        <w:ind w:start="5040" w:hanging="360"/>
      </w:pPr>
      <w:rPr>
        <w:rFonts w:ascii="Wingdings" w:hAnsi="Wingdings" w:cs="Wingdings" w:hint="default"/>
        <w:u w:val="none"/>
      </w:rPr>
    </w:lvl>
    <w:lvl w:ilvl="7">
      <w:start w:val="1"/>
      <w:numFmt w:val="bullet"/>
      <w:lvlText w:val=""/>
      <w:lvlJc w:val="start"/>
      <w:pPr>
        <w:tabs>
          <w:tab w:val="num" w:pos="0"/>
        </w:tabs>
        <w:ind w:start="5760" w:hanging="360"/>
      </w:pPr>
      <w:rPr>
        <w:rFonts w:ascii="Wingdings 2" w:hAnsi="Wingdings 2" w:cs="Wingdings 2" w:hint="default"/>
        <w:u w:val="none"/>
      </w:rPr>
    </w:lvl>
    <w:lvl w:ilvl="8">
      <w:start w:val="1"/>
      <w:numFmt w:val="bullet"/>
      <w:lvlText w:val="■"/>
      <w:lvlJc w:val="start"/>
      <w:pPr>
        <w:tabs>
          <w:tab w:val="num" w:pos="0"/>
        </w:tabs>
        <w:ind w:start="6480" w:hanging="360"/>
      </w:pPr>
      <w:rPr>
        <w:rFonts w:ascii="OpenSymbol" w:hAnsi="OpenSymbol" w:cs="OpenSymbol" w:hint="default"/>
        <w:u w:val="none"/>
      </w:rPr>
    </w:lvl>
  </w:abstractNum>
  <w:abstractNum w:abstractNumId="16">
    <w:lvl w:ilvl="0">
      <w:start w:val="1"/>
      <w:numFmt w:val="bullet"/>
      <w:lvlText w:val=""/>
      <w:lvlJc w:val="start"/>
      <w:pPr>
        <w:tabs>
          <w:tab w:val="num" w:pos="0"/>
        </w:tabs>
        <w:ind w:start="720" w:hanging="360"/>
      </w:pPr>
      <w:rPr>
        <w:rFonts w:ascii="Wingdings" w:hAnsi="Wingdings" w:cs="Wingdings" w:hint="default"/>
        <w:u w:val="none"/>
      </w:rPr>
    </w:lvl>
    <w:lvl w:ilvl="1">
      <w:start w:val="1"/>
      <w:numFmt w:val="bullet"/>
      <w:lvlText w:val=""/>
      <w:lvlJc w:val="start"/>
      <w:pPr>
        <w:tabs>
          <w:tab w:val="num" w:pos="0"/>
        </w:tabs>
        <w:ind w:start="1440" w:hanging="360"/>
      </w:pPr>
      <w:rPr>
        <w:rFonts w:ascii="Wingdings 2" w:hAnsi="Wingdings 2" w:cs="Wingdings 2" w:hint="default"/>
        <w:u w:val="none"/>
      </w:rPr>
    </w:lvl>
    <w:lvl w:ilvl="2">
      <w:start w:val="1"/>
      <w:numFmt w:val="bullet"/>
      <w:lvlText w:val="■"/>
      <w:lvlJc w:val="start"/>
      <w:pPr>
        <w:tabs>
          <w:tab w:val="num" w:pos="0"/>
        </w:tabs>
        <w:ind w:start="2160" w:hanging="360"/>
      </w:pPr>
      <w:rPr>
        <w:rFonts w:ascii="OpenSymbol" w:hAnsi="OpenSymbol" w:cs="OpenSymbol" w:hint="default"/>
        <w:u w:val="none"/>
      </w:rPr>
    </w:lvl>
    <w:lvl w:ilvl="3">
      <w:start w:val="1"/>
      <w:numFmt w:val="bullet"/>
      <w:lvlText w:val=""/>
      <w:lvlJc w:val="start"/>
      <w:pPr>
        <w:tabs>
          <w:tab w:val="num" w:pos="0"/>
        </w:tabs>
        <w:ind w:start="2880" w:hanging="360"/>
      </w:pPr>
      <w:rPr>
        <w:rFonts w:ascii="Wingdings" w:hAnsi="Wingdings" w:cs="Wingdings" w:hint="default"/>
        <w:u w:val="none"/>
      </w:rPr>
    </w:lvl>
    <w:lvl w:ilvl="4">
      <w:start w:val="1"/>
      <w:numFmt w:val="bullet"/>
      <w:lvlText w:val=""/>
      <w:lvlJc w:val="start"/>
      <w:pPr>
        <w:tabs>
          <w:tab w:val="num" w:pos="0"/>
        </w:tabs>
        <w:ind w:start="3600" w:hanging="360"/>
      </w:pPr>
      <w:rPr>
        <w:rFonts w:ascii="Wingdings 2" w:hAnsi="Wingdings 2" w:cs="Wingdings 2" w:hint="default"/>
        <w:u w:val="none"/>
      </w:rPr>
    </w:lvl>
    <w:lvl w:ilvl="5">
      <w:start w:val="1"/>
      <w:numFmt w:val="bullet"/>
      <w:lvlText w:val="■"/>
      <w:lvlJc w:val="start"/>
      <w:pPr>
        <w:tabs>
          <w:tab w:val="num" w:pos="0"/>
        </w:tabs>
        <w:ind w:start="4320" w:hanging="360"/>
      </w:pPr>
      <w:rPr>
        <w:rFonts w:ascii="OpenSymbol" w:hAnsi="OpenSymbol" w:cs="OpenSymbol" w:hint="default"/>
        <w:u w:val="none"/>
      </w:rPr>
    </w:lvl>
    <w:lvl w:ilvl="6">
      <w:start w:val="1"/>
      <w:numFmt w:val="bullet"/>
      <w:lvlText w:val=""/>
      <w:lvlJc w:val="start"/>
      <w:pPr>
        <w:tabs>
          <w:tab w:val="num" w:pos="0"/>
        </w:tabs>
        <w:ind w:start="5040" w:hanging="360"/>
      </w:pPr>
      <w:rPr>
        <w:rFonts w:ascii="Wingdings" w:hAnsi="Wingdings" w:cs="Wingdings" w:hint="default"/>
        <w:u w:val="none"/>
      </w:rPr>
    </w:lvl>
    <w:lvl w:ilvl="7">
      <w:start w:val="1"/>
      <w:numFmt w:val="bullet"/>
      <w:lvlText w:val=""/>
      <w:lvlJc w:val="start"/>
      <w:pPr>
        <w:tabs>
          <w:tab w:val="num" w:pos="0"/>
        </w:tabs>
        <w:ind w:start="5760" w:hanging="360"/>
      </w:pPr>
      <w:rPr>
        <w:rFonts w:ascii="Wingdings 2" w:hAnsi="Wingdings 2" w:cs="Wingdings 2" w:hint="default"/>
        <w:u w:val="none"/>
      </w:rPr>
    </w:lvl>
    <w:lvl w:ilvl="8">
      <w:start w:val="1"/>
      <w:numFmt w:val="bullet"/>
      <w:lvlText w:val="■"/>
      <w:lvlJc w:val="start"/>
      <w:pPr>
        <w:tabs>
          <w:tab w:val="num" w:pos="0"/>
        </w:tabs>
        <w:ind w:start="6480" w:hanging="360"/>
      </w:pPr>
      <w:rPr>
        <w:rFonts w:ascii="OpenSymbol" w:hAnsi="OpenSymbol" w:cs="OpenSymbol" w:hint="default"/>
        <w:u w:val="none"/>
      </w:rPr>
    </w:lvl>
  </w:abstractNum>
  <w:abstractNum w:abstractNumId="17">
    <w:lvl w:ilvl="0">
      <w:start w:val="1"/>
      <w:numFmt w:val="bullet"/>
      <w:lvlText w:val=""/>
      <w:lvlJc w:val="start"/>
      <w:pPr>
        <w:tabs>
          <w:tab w:val="num" w:pos="0"/>
        </w:tabs>
        <w:ind w:start="720" w:hanging="360"/>
      </w:pPr>
      <w:rPr>
        <w:rFonts w:ascii="Wingdings" w:hAnsi="Wingdings" w:cs="Wingdings" w:hint="default"/>
        <w:u w:val="none"/>
      </w:rPr>
    </w:lvl>
    <w:lvl w:ilvl="1">
      <w:start w:val="1"/>
      <w:numFmt w:val="bullet"/>
      <w:lvlText w:val=""/>
      <w:lvlJc w:val="start"/>
      <w:pPr>
        <w:tabs>
          <w:tab w:val="num" w:pos="0"/>
        </w:tabs>
        <w:ind w:start="1440" w:hanging="360"/>
      </w:pPr>
      <w:rPr>
        <w:rFonts w:ascii="Wingdings 2" w:hAnsi="Wingdings 2" w:cs="Wingdings 2" w:hint="default"/>
        <w:u w:val="none"/>
      </w:rPr>
    </w:lvl>
    <w:lvl w:ilvl="2">
      <w:start w:val="1"/>
      <w:numFmt w:val="bullet"/>
      <w:lvlText w:val="■"/>
      <w:lvlJc w:val="start"/>
      <w:pPr>
        <w:tabs>
          <w:tab w:val="num" w:pos="0"/>
        </w:tabs>
        <w:ind w:start="2160" w:hanging="360"/>
      </w:pPr>
      <w:rPr>
        <w:rFonts w:ascii="OpenSymbol" w:hAnsi="OpenSymbol" w:cs="OpenSymbol" w:hint="default"/>
        <w:u w:val="none"/>
      </w:rPr>
    </w:lvl>
    <w:lvl w:ilvl="3">
      <w:start w:val="1"/>
      <w:numFmt w:val="bullet"/>
      <w:lvlText w:val=""/>
      <w:lvlJc w:val="start"/>
      <w:pPr>
        <w:tabs>
          <w:tab w:val="num" w:pos="0"/>
        </w:tabs>
        <w:ind w:start="2880" w:hanging="360"/>
      </w:pPr>
      <w:rPr>
        <w:rFonts w:ascii="Wingdings" w:hAnsi="Wingdings" w:cs="Wingdings" w:hint="default"/>
        <w:u w:val="none"/>
      </w:rPr>
    </w:lvl>
    <w:lvl w:ilvl="4">
      <w:start w:val="1"/>
      <w:numFmt w:val="bullet"/>
      <w:lvlText w:val=""/>
      <w:lvlJc w:val="start"/>
      <w:pPr>
        <w:tabs>
          <w:tab w:val="num" w:pos="0"/>
        </w:tabs>
        <w:ind w:start="3600" w:hanging="360"/>
      </w:pPr>
      <w:rPr>
        <w:rFonts w:ascii="Wingdings 2" w:hAnsi="Wingdings 2" w:cs="Wingdings 2" w:hint="default"/>
        <w:u w:val="none"/>
      </w:rPr>
    </w:lvl>
    <w:lvl w:ilvl="5">
      <w:start w:val="1"/>
      <w:numFmt w:val="bullet"/>
      <w:lvlText w:val="■"/>
      <w:lvlJc w:val="start"/>
      <w:pPr>
        <w:tabs>
          <w:tab w:val="num" w:pos="0"/>
        </w:tabs>
        <w:ind w:start="4320" w:hanging="360"/>
      </w:pPr>
      <w:rPr>
        <w:rFonts w:ascii="OpenSymbol" w:hAnsi="OpenSymbol" w:cs="OpenSymbol" w:hint="default"/>
        <w:u w:val="none"/>
      </w:rPr>
    </w:lvl>
    <w:lvl w:ilvl="6">
      <w:start w:val="1"/>
      <w:numFmt w:val="bullet"/>
      <w:lvlText w:val=""/>
      <w:lvlJc w:val="start"/>
      <w:pPr>
        <w:tabs>
          <w:tab w:val="num" w:pos="0"/>
        </w:tabs>
        <w:ind w:start="5040" w:hanging="360"/>
      </w:pPr>
      <w:rPr>
        <w:rFonts w:ascii="Wingdings" w:hAnsi="Wingdings" w:cs="Wingdings" w:hint="default"/>
        <w:u w:val="none"/>
      </w:rPr>
    </w:lvl>
    <w:lvl w:ilvl="7">
      <w:start w:val="1"/>
      <w:numFmt w:val="bullet"/>
      <w:lvlText w:val=""/>
      <w:lvlJc w:val="start"/>
      <w:pPr>
        <w:tabs>
          <w:tab w:val="num" w:pos="0"/>
        </w:tabs>
        <w:ind w:start="5760" w:hanging="360"/>
      </w:pPr>
      <w:rPr>
        <w:rFonts w:ascii="Wingdings 2" w:hAnsi="Wingdings 2" w:cs="Wingdings 2" w:hint="default"/>
        <w:u w:val="none"/>
      </w:rPr>
    </w:lvl>
    <w:lvl w:ilvl="8">
      <w:start w:val="1"/>
      <w:numFmt w:val="bullet"/>
      <w:lvlText w:val="■"/>
      <w:lvlJc w:val="start"/>
      <w:pPr>
        <w:tabs>
          <w:tab w:val="num" w:pos="0"/>
        </w:tabs>
        <w:ind w:start="6480" w:hanging="360"/>
      </w:pPr>
      <w:rPr>
        <w:rFonts w:ascii="OpenSymbol" w:hAnsi="OpenSymbol" w:cs="OpenSymbol" w:hint="default"/>
        <w:u w:val="none"/>
      </w:rPr>
    </w:lvl>
  </w:abstractNum>
  <w:abstractNum w:abstractNumId="18">
    <w:lvl w:ilvl="0">
      <w:start w:val="1"/>
      <w:numFmt w:val="bullet"/>
      <w:lvlText w:val=""/>
      <w:lvlJc w:val="start"/>
      <w:pPr>
        <w:tabs>
          <w:tab w:val="num" w:pos="0"/>
        </w:tabs>
        <w:ind w:start="720" w:hanging="360"/>
      </w:pPr>
      <w:rPr>
        <w:rFonts w:ascii="Wingdings" w:hAnsi="Wingdings" w:cs="Wingdings" w:hint="default"/>
        <w:u w:val="none"/>
      </w:rPr>
    </w:lvl>
    <w:lvl w:ilvl="1">
      <w:start w:val="1"/>
      <w:numFmt w:val="bullet"/>
      <w:lvlText w:val=""/>
      <w:lvlJc w:val="start"/>
      <w:pPr>
        <w:tabs>
          <w:tab w:val="num" w:pos="0"/>
        </w:tabs>
        <w:ind w:start="1440" w:hanging="360"/>
      </w:pPr>
      <w:rPr>
        <w:rFonts w:ascii="Wingdings 2" w:hAnsi="Wingdings 2" w:cs="Wingdings 2" w:hint="default"/>
        <w:u w:val="none"/>
      </w:rPr>
    </w:lvl>
    <w:lvl w:ilvl="2">
      <w:start w:val="1"/>
      <w:numFmt w:val="bullet"/>
      <w:lvlText w:val="■"/>
      <w:lvlJc w:val="start"/>
      <w:pPr>
        <w:tabs>
          <w:tab w:val="num" w:pos="0"/>
        </w:tabs>
        <w:ind w:start="2160" w:hanging="360"/>
      </w:pPr>
      <w:rPr>
        <w:rFonts w:ascii="OpenSymbol" w:hAnsi="OpenSymbol" w:cs="OpenSymbol" w:hint="default"/>
        <w:u w:val="none"/>
      </w:rPr>
    </w:lvl>
    <w:lvl w:ilvl="3">
      <w:start w:val="1"/>
      <w:numFmt w:val="bullet"/>
      <w:lvlText w:val=""/>
      <w:lvlJc w:val="start"/>
      <w:pPr>
        <w:tabs>
          <w:tab w:val="num" w:pos="0"/>
        </w:tabs>
        <w:ind w:start="2880" w:hanging="360"/>
      </w:pPr>
      <w:rPr>
        <w:rFonts w:ascii="Wingdings" w:hAnsi="Wingdings" w:cs="Wingdings" w:hint="default"/>
        <w:u w:val="none"/>
      </w:rPr>
    </w:lvl>
    <w:lvl w:ilvl="4">
      <w:start w:val="1"/>
      <w:numFmt w:val="bullet"/>
      <w:lvlText w:val=""/>
      <w:lvlJc w:val="start"/>
      <w:pPr>
        <w:tabs>
          <w:tab w:val="num" w:pos="0"/>
        </w:tabs>
        <w:ind w:start="3600" w:hanging="360"/>
      </w:pPr>
      <w:rPr>
        <w:rFonts w:ascii="Wingdings 2" w:hAnsi="Wingdings 2" w:cs="Wingdings 2" w:hint="default"/>
        <w:u w:val="none"/>
      </w:rPr>
    </w:lvl>
    <w:lvl w:ilvl="5">
      <w:start w:val="1"/>
      <w:numFmt w:val="bullet"/>
      <w:lvlText w:val="■"/>
      <w:lvlJc w:val="start"/>
      <w:pPr>
        <w:tabs>
          <w:tab w:val="num" w:pos="0"/>
        </w:tabs>
        <w:ind w:start="4320" w:hanging="360"/>
      </w:pPr>
      <w:rPr>
        <w:rFonts w:ascii="OpenSymbol" w:hAnsi="OpenSymbol" w:cs="OpenSymbol" w:hint="default"/>
        <w:u w:val="none"/>
      </w:rPr>
    </w:lvl>
    <w:lvl w:ilvl="6">
      <w:start w:val="1"/>
      <w:numFmt w:val="bullet"/>
      <w:lvlText w:val=""/>
      <w:lvlJc w:val="start"/>
      <w:pPr>
        <w:tabs>
          <w:tab w:val="num" w:pos="0"/>
        </w:tabs>
        <w:ind w:start="5040" w:hanging="360"/>
      </w:pPr>
      <w:rPr>
        <w:rFonts w:ascii="Wingdings" w:hAnsi="Wingdings" w:cs="Wingdings" w:hint="default"/>
        <w:u w:val="none"/>
      </w:rPr>
    </w:lvl>
    <w:lvl w:ilvl="7">
      <w:start w:val="1"/>
      <w:numFmt w:val="bullet"/>
      <w:lvlText w:val=""/>
      <w:lvlJc w:val="start"/>
      <w:pPr>
        <w:tabs>
          <w:tab w:val="num" w:pos="0"/>
        </w:tabs>
        <w:ind w:start="5760" w:hanging="360"/>
      </w:pPr>
      <w:rPr>
        <w:rFonts w:ascii="Wingdings 2" w:hAnsi="Wingdings 2" w:cs="Wingdings 2" w:hint="default"/>
        <w:u w:val="none"/>
      </w:rPr>
    </w:lvl>
    <w:lvl w:ilvl="8">
      <w:start w:val="1"/>
      <w:numFmt w:val="bullet"/>
      <w:lvlText w:val="■"/>
      <w:lvlJc w:val="start"/>
      <w:pPr>
        <w:tabs>
          <w:tab w:val="num" w:pos="0"/>
        </w:tabs>
        <w:ind w:start="6480" w:hanging="360"/>
      </w:pPr>
      <w:rPr>
        <w:rFonts w:ascii="OpenSymbol" w:hAnsi="OpenSymbol" w:cs="OpenSymbol" w:hint="default"/>
        <w:u w:val="none"/>
      </w:rPr>
    </w:lvl>
  </w:abstractNum>
  <w:abstractNum w:abstractNumId="19">
    <w:lvl w:ilvl="0">
      <w:start w:val="1"/>
      <w:numFmt w:val="bullet"/>
      <w:lvlText w:val=""/>
      <w:lvlJc w:val="start"/>
      <w:pPr>
        <w:tabs>
          <w:tab w:val="num" w:pos="0"/>
        </w:tabs>
        <w:ind w:start="720" w:hanging="360"/>
      </w:pPr>
      <w:rPr>
        <w:rFonts w:ascii="Wingdings" w:hAnsi="Wingdings" w:cs="Wingdings" w:hint="default"/>
        <w:u w:val="none"/>
      </w:rPr>
    </w:lvl>
    <w:lvl w:ilvl="1">
      <w:start w:val="1"/>
      <w:numFmt w:val="bullet"/>
      <w:lvlText w:val=""/>
      <w:lvlJc w:val="start"/>
      <w:pPr>
        <w:tabs>
          <w:tab w:val="num" w:pos="0"/>
        </w:tabs>
        <w:ind w:start="1440" w:hanging="360"/>
      </w:pPr>
      <w:rPr>
        <w:rFonts w:ascii="Wingdings 2" w:hAnsi="Wingdings 2" w:cs="Wingdings 2" w:hint="default"/>
        <w:u w:val="none"/>
      </w:rPr>
    </w:lvl>
    <w:lvl w:ilvl="2">
      <w:start w:val="1"/>
      <w:numFmt w:val="bullet"/>
      <w:lvlText w:val="■"/>
      <w:lvlJc w:val="start"/>
      <w:pPr>
        <w:tabs>
          <w:tab w:val="num" w:pos="0"/>
        </w:tabs>
        <w:ind w:start="2160" w:hanging="360"/>
      </w:pPr>
      <w:rPr>
        <w:rFonts w:ascii="OpenSymbol" w:hAnsi="OpenSymbol" w:cs="OpenSymbol" w:hint="default"/>
        <w:u w:val="none"/>
      </w:rPr>
    </w:lvl>
    <w:lvl w:ilvl="3">
      <w:start w:val="1"/>
      <w:numFmt w:val="bullet"/>
      <w:lvlText w:val=""/>
      <w:lvlJc w:val="start"/>
      <w:pPr>
        <w:tabs>
          <w:tab w:val="num" w:pos="0"/>
        </w:tabs>
        <w:ind w:start="2880" w:hanging="360"/>
      </w:pPr>
      <w:rPr>
        <w:rFonts w:ascii="Wingdings" w:hAnsi="Wingdings" w:cs="Wingdings" w:hint="default"/>
        <w:u w:val="none"/>
      </w:rPr>
    </w:lvl>
    <w:lvl w:ilvl="4">
      <w:start w:val="1"/>
      <w:numFmt w:val="bullet"/>
      <w:lvlText w:val=""/>
      <w:lvlJc w:val="start"/>
      <w:pPr>
        <w:tabs>
          <w:tab w:val="num" w:pos="0"/>
        </w:tabs>
        <w:ind w:start="3600" w:hanging="360"/>
      </w:pPr>
      <w:rPr>
        <w:rFonts w:ascii="Wingdings 2" w:hAnsi="Wingdings 2" w:cs="Wingdings 2" w:hint="default"/>
        <w:u w:val="none"/>
      </w:rPr>
    </w:lvl>
    <w:lvl w:ilvl="5">
      <w:start w:val="1"/>
      <w:numFmt w:val="bullet"/>
      <w:lvlText w:val="■"/>
      <w:lvlJc w:val="start"/>
      <w:pPr>
        <w:tabs>
          <w:tab w:val="num" w:pos="0"/>
        </w:tabs>
        <w:ind w:start="4320" w:hanging="360"/>
      </w:pPr>
      <w:rPr>
        <w:rFonts w:ascii="OpenSymbol" w:hAnsi="OpenSymbol" w:cs="OpenSymbol" w:hint="default"/>
        <w:u w:val="none"/>
      </w:rPr>
    </w:lvl>
    <w:lvl w:ilvl="6">
      <w:start w:val="1"/>
      <w:numFmt w:val="bullet"/>
      <w:lvlText w:val=""/>
      <w:lvlJc w:val="start"/>
      <w:pPr>
        <w:tabs>
          <w:tab w:val="num" w:pos="0"/>
        </w:tabs>
        <w:ind w:start="5040" w:hanging="360"/>
      </w:pPr>
      <w:rPr>
        <w:rFonts w:ascii="Wingdings" w:hAnsi="Wingdings" w:cs="Wingdings" w:hint="default"/>
        <w:u w:val="none"/>
      </w:rPr>
    </w:lvl>
    <w:lvl w:ilvl="7">
      <w:start w:val="1"/>
      <w:numFmt w:val="bullet"/>
      <w:lvlText w:val=""/>
      <w:lvlJc w:val="start"/>
      <w:pPr>
        <w:tabs>
          <w:tab w:val="num" w:pos="0"/>
        </w:tabs>
        <w:ind w:start="5760" w:hanging="360"/>
      </w:pPr>
      <w:rPr>
        <w:rFonts w:ascii="Wingdings 2" w:hAnsi="Wingdings 2" w:cs="Wingdings 2" w:hint="default"/>
        <w:u w:val="none"/>
      </w:rPr>
    </w:lvl>
    <w:lvl w:ilvl="8">
      <w:start w:val="1"/>
      <w:numFmt w:val="bullet"/>
      <w:lvlText w:val="■"/>
      <w:lvlJc w:val="start"/>
      <w:pPr>
        <w:tabs>
          <w:tab w:val="num" w:pos="0"/>
        </w:tabs>
        <w:ind w:start="6480" w:hanging="360"/>
      </w:pPr>
      <w:rPr>
        <w:rFonts w:ascii="OpenSymbol" w:hAnsi="OpenSymbol" w:cs="OpenSymbol" w:hint="default"/>
        <w:u w:val="none"/>
      </w:rPr>
    </w:lvl>
  </w:abstractNum>
  <w:abstractNum w:abstractNumId="20">
    <w:lvl w:ilvl="0">
      <w:start w:val="1"/>
      <w:numFmt w:val="bullet"/>
      <w:lvlText w:val=""/>
      <w:lvlJc w:val="start"/>
      <w:pPr>
        <w:tabs>
          <w:tab w:val="num" w:pos="0"/>
        </w:tabs>
        <w:ind w:start="720" w:hanging="360"/>
      </w:pPr>
      <w:rPr>
        <w:rFonts w:ascii="Wingdings" w:hAnsi="Wingdings" w:cs="Wingdings" w:hint="default"/>
        <w:u w:val="none"/>
      </w:rPr>
    </w:lvl>
    <w:lvl w:ilvl="1">
      <w:start w:val="1"/>
      <w:numFmt w:val="bullet"/>
      <w:lvlText w:val=""/>
      <w:lvlJc w:val="start"/>
      <w:pPr>
        <w:tabs>
          <w:tab w:val="num" w:pos="0"/>
        </w:tabs>
        <w:ind w:start="1440" w:hanging="360"/>
      </w:pPr>
      <w:rPr>
        <w:rFonts w:ascii="Wingdings 2" w:hAnsi="Wingdings 2" w:cs="Wingdings 2" w:hint="default"/>
        <w:u w:val="none"/>
      </w:rPr>
    </w:lvl>
    <w:lvl w:ilvl="2">
      <w:start w:val="1"/>
      <w:numFmt w:val="bullet"/>
      <w:lvlText w:val="■"/>
      <w:lvlJc w:val="start"/>
      <w:pPr>
        <w:tabs>
          <w:tab w:val="num" w:pos="0"/>
        </w:tabs>
        <w:ind w:start="2160" w:hanging="360"/>
      </w:pPr>
      <w:rPr>
        <w:rFonts w:ascii="OpenSymbol" w:hAnsi="OpenSymbol" w:cs="OpenSymbol" w:hint="default"/>
        <w:u w:val="none"/>
      </w:rPr>
    </w:lvl>
    <w:lvl w:ilvl="3">
      <w:start w:val="1"/>
      <w:numFmt w:val="bullet"/>
      <w:lvlText w:val=""/>
      <w:lvlJc w:val="start"/>
      <w:pPr>
        <w:tabs>
          <w:tab w:val="num" w:pos="0"/>
        </w:tabs>
        <w:ind w:start="2880" w:hanging="360"/>
      </w:pPr>
      <w:rPr>
        <w:rFonts w:ascii="Wingdings" w:hAnsi="Wingdings" w:cs="Wingdings" w:hint="default"/>
        <w:u w:val="none"/>
      </w:rPr>
    </w:lvl>
    <w:lvl w:ilvl="4">
      <w:start w:val="1"/>
      <w:numFmt w:val="bullet"/>
      <w:lvlText w:val=""/>
      <w:lvlJc w:val="start"/>
      <w:pPr>
        <w:tabs>
          <w:tab w:val="num" w:pos="0"/>
        </w:tabs>
        <w:ind w:start="3600" w:hanging="360"/>
      </w:pPr>
      <w:rPr>
        <w:rFonts w:ascii="Wingdings 2" w:hAnsi="Wingdings 2" w:cs="Wingdings 2" w:hint="default"/>
        <w:u w:val="none"/>
      </w:rPr>
    </w:lvl>
    <w:lvl w:ilvl="5">
      <w:start w:val="1"/>
      <w:numFmt w:val="bullet"/>
      <w:lvlText w:val="■"/>
      <w:lvlJc w:val="start"/>
      <w:pPr>
        <w:tabs>
          <w:tab w:val="num" w:pos="0"/>
        </w:tabs>
        <w:ind w:start="4320" w:hanging="360"/>
      </w:pPr>
      <w:rPr>
        <w:rFonts w:ascii="OpenSymbol" w:hAnsi="OpenSymbol" w:cs="OpenSymbol" w:hint="default"/>
        <w:u w:val="none"/>
      </w:rPr>
    </w:lvl>
    <w:lvl w:ilvl="6">
      <w:start w:val="1"/>
      <w:numFmt w:val="bullet"/>
      <w:lvlText w:val=""/>
      <w:lvlJc w:val="start"/>
      <w:pPr>
        <w:tabs>
          <w:tab w:val="num" w:pos="0"/>
        </w:tabs>
        <w:ind w:start="5040" w:hanging="360"/>
      </w:pPr>
      <w:rPr>
        <w:rFonts w:ascii="Wingdings" w:hAnsi="Wingdings" w:cs="Wingdings" w:hint="default"/>
        <w:u w:val="none"/>
      </w:rPr>
    </w:lvl>
    <w:lvl w:ilvl="7">
      <w:start w:val="1"/>
      <w:numFmt w:val="bullet"/>
      <w:lvlText w:val=""/>
      <w:lvlJc w:val="start"/>
      <w:pPr>
        <w:tabs>
          <w:tab w:val="num" w:pos="0"/>
        </w:tabs>
        <w:ind w:start="5760" w:hanging="360"/>
      </w:pPr>
      <w:rPr>
        <w:rFonts w:ascii="Wingdings 2" w:hAnsi="Wingdings 2" w:cs="Wingdings 2" w:hint="default"/>
        <w:u w:val="none"/>
      </w:rPr>
    </w:lvl>
    <w:lvl w:ilvl="8">
      <w:start w:val="1"/>
      <w:numFmt w:val="bullet"/>
      <w:lvlText w:val="■"/>
      <w:lvlJc w:val="start"/>
      <w:pPr>
        <w:tabs>
          <w:tab w:val="num" w:pos="0"/>
        </w:tabs>
        <w:ind w:start="6480" w:hanging="360"/>
      </w:pPr>
      <w:rPr>
        <w:rFonts w:ascii="OpenSymbol" w:hAnsi="OpenSymbol" w:cs="OpenSymbol" w:hint="default"/>
        <w:u w:val="none"/>
      </w:rPr>
    </w:lvl>
  </w:abstractNum>
  <w:abstractNum w:abstractNumId="21">
    <w:lvl w:ilvl="0">
      <w:start w:val="1"/>
      <w:numFmt w:val="bullet"/>
      <w:lvlText w:val=""/>
      <w:lvlJc w:val="start"/>
      <w:pPr>
        <w:tabs>
          <w:tab w:val="num" w:pos="0"/>
        </w:tabs>
        <w:ind w:start="720" w:hanging="360"/>
      </w:pPr>
      <w:rPr>
        <w:rFonts w:ascii="Wingdings" w:hAnsi="Wingdings" w:cs="Wingdings" w:hint="default"/>
        <w:u w:val="none"/>
      </w:rPr>
    </w:lvl>
    <w:lvl w:ilvl="1">
      <w:start w:val="1"/>
      <w:numFmt w:val="bullet"/>
      <w:lvlText w:val=""/>
      <w:lvlJc w:val="start"/>
      <w:pPr>
        <w:tabs>
          <w:tab w:val="num" w:pos="0"/>
        </w:tabs>
        <w:ind w:start="1440" w:hanging="360"/>
      </w:pPr>
      <w:rPr>
        <w:rFonts w:ascii="Wingdings 2" w:hAnsi="Wingdings 2" w:cs="Wingdings 2" w:hint="default"/>
        <w:u w:val="none"/>
      </w:rPr>
    </w:lvl>
    <w:lvl w:ilvl="2">
      <w:start w:val="1"/>
      <w:numFmt w:val="bullet"/>
      <w:lvlText w:val="■"/>
      <w:lvlJc w:val="start"/>
      <w:pPr>
        <w:tabs>
          <w:tab w:val="num" w:pos="0"/>
        </w:tabs>
        <w:ind w:start="2160" w:hanging="360"/>
      </w:pPr>
      <w:rPr>
        <w:rFonts w:ascii="OpenSymbol" w:hAnsi="OpenSymbol" w:cs="OpenSymbol" w:hint="default"/>
        <w:u w:val="none"/>
      </w:rPr>
    </w:lvl>
    <w:lvl w:ilvl="3">
      <w:start w:val="1"/>
      <w:numFmt w:val="bullet"/>
      <w:lvlText w:val=""/>
      <w:lvlJc w:val="start"/>
      <w:pPr>
        <w:tabs>
          <w:tab w:val="num" w:pos="0"/>
        </w:tabs>
        <w:ind w:start="2880" w:hanging="360"/>
      </w:pPr>
      <w:rPr>
        <w:rFonts w:ascii="Wingdings" w:hAnsi="Wingdings" w:cs="Wingdings" w:hint="default"/>
        <w:u w:val="none"/>
      </w:rPr>
    </w:lvl>
    <w:lvl w:ilvl="4">
      <w:start w:val="1"/>
      <w:numFmt w:val="bullet"/>
      <w:lvlText w:val=""/>
      <w:lvlJc w:val="start"/>
      <w:pPr>
        <w:tabs>
          <w:tab w:val="num" w:pos="0"/>
        </w:tabs>
        <w:ind w:start="3600" w:hanging="360"/>
      </w:pPr>
      <w:rPr>
        <w:rFonts w:ascii="Wingdings 2" w:hAnsi="Wingdings 2" w:cs="Wingdings 2" w:hint="default"/>
        <w:u w:val="none"/>
      </w:rPr>
    </w:lvl>
    <w:lvl w:ilvl="5">
      <w:start w:val="1"/>
      <w:numFmt w:val="bullet"/>
      <w:lvlText w:val="■"/>
      <w:lvlJc w:val="start"/>
      <w:pPr>
        <w:tabs>
          <w:tab w:val="num" w:pos="0"/>
        </w:tabs>
        <w:ind w:start="4320" w:hanging="360"/>
      </w:pPr>
      <w:rPr>
        <w:rFonts w:ascii="OpenSymbol" w:hAnsi="OpenSymbol" w:cs="OpenSymbol" w:hint="default"/>
        <w:u w:val="none"/>
      </w:rPr>
    </w:lvl>
    <w:lvl w:ilvl="6">
      <w:start w:val="1"/>
      <w:numFmt w:val="bullet"/>
      <w:lvlText w:val=""/>
      <w:lvlJc w:val="start"/>
      <w:pPr>
        <w:tabs>
          <w:tab w:val="num" w:pos="0"/>
        </w:tabs>
        <w:ind w:start="5040" w:hanging="360"/>
      </w:pPr>
      <w:rPr>
        <w:rFonts w:ascii="Wingdings" w:hAnsi="Wingdings" w:cs="Wingdings" w:hint="default"/>
        <w:u w:val="none"/>
      </w:rPr>
    </w:lvl>
    <w:lvl w:ilvl="7">
      <w:start w:val="1"/>
      <w:numFmt w:val="bullet"/>
      <w:lvlText w:val=""/>
      <w:lvlJc w:val="start"/>
      <w:pPr>
        <w:tabs>
          <w:tab w:val="num" w:pos="0"/>
        </w:tabs>
        <w:ind w:start="5760" w:hanging="360"/>
      </w:pPr>
      <w:rPr>
        <w:rFonts w:ascii="Wingdings 2" w:hAnsi="Wingdings 2" w:cs="Wingdings 2" w:hint="default"/>
        <w:u w:val="none"/>
      </w:rPr>
    </w:lvl>
    <w:lvl w:ilvl="8">
      <w:start w:val="1"/>
      <w:numFmt w:val="bullet"/>
      <w:lvlText w:val="■"/>
      <w:lvlJc w:val="start"/>
      <w:pPr>
        <w:tabs>
          <w:tab w:val="num" w:pos="0"/>
        </w:tabs>
        <w:ind w:start="6480" w:hanging="360"/>
      </w:pPr>
      <w:rPr>
        <w:rFonts w:ascii="OpenSymbol" w:hAnsi="OpenSymbol" w:cs="OpenSymbol" w:hint="default"/>
        <w:u w:val="none"/>
      </w:rPr>
    </w:lvl>
  </w:abstractNum>
  <w:abstractNum w:abstractNumId="22">
    <w:lvl w:ilvl="0">
      <w:start w:val="1"/>
      <w:numFmt w:val="bullet"/>
      <w:lvlText w:val=""/>
      <w:lvlJc w:val="start"/>
      <w:pPr>
        <w:tabs>
          <w:tab w:val="num" w:pos="0"/>
        </w:tabs>
        <w:ind w:start="720" w:hanging="360"/>
      </w:pPr>
      <w:rPr>
        <w:rFonts w:ascii="Wingdings" w:hAnsi="Wingdings" w:cs="Wingdings" w:hint="default"/>
        <w:u w:val="none"/>
      </w:rPr>
    </w:lvl>
    <w:lvl w:ilvl="1">
      <w:start w:val="1"/>
      <w:numFmt w:val="bullet"/>
      <w:lvlText w:val=""/>
      <w:lvlJc w:val="start"/>
      <w:pPr>
        <w:tabs>
          <w:tab w:val="num" w:pos="0"/>
        </w:tabs>
        <w:ind w:start="1440" w:hanging="360"/>
      </w:pPr>
      <w:rPr>
        <w:rFonts w:ascii="Wingdings 2" w:hAnsi="Wingdings 2" w:cs="Wingdings 2" w:hint="default"/>
        <w:u w:val="none"/>
      </w:rPr>
    </w:lvl>
    <w:lvl w:ilvl="2">
      <w:start w:val="1"/>
      <w:numFmt w:val="bullet"/>
      <w:lvlText w:val="■"/>
      <w:lvlJc w:val="start"/>
      <w:pPr>
        <w:tabs>
          <w:tab w:val="num" w:pos="0"/>
        </w:tabs>
        <w:ind w:start="2160" w:hanging="360"/>
      </w:pPr>
      <w:rPr>
        <w:rFonts w:ascii="OpenSymbol" w:hAnsi="OpenSymbol" w:cs="OpenSymbol" w:hint="default"/>
        <w:u w:val="none"/>
      </w:rPr>
    </w:lvl>
    <w:lvl w:ilvl="3">
      <w:start w:val="1"/>
      <w:numFmt w:val="bullet"/>
      <w:lvlText w:val=""/>
      <w:lvlJc w:val="start"/>
      <w:pPr>
        <w:tabs>
          <w:tab w:val="num" w:pos="0"/>
        </w:tabs>
        <w:ind w:start="2880" w:hanging="360"/>
      </w:pPr>
      <w:rPr>
        <w:rFonts w:ascii="Wingdings" w:hAnsi="Wingdings" w:cs="Wingdings" w:hint="default"/>
        <w:u w:val="none"/>
      </w:rPr>
    </w:lvl>
    <w:lvl w:ilvl="4">
      <w:start w:val="1"/>
      <w:numFmt w:val="bullet"/>
      <w:lvlText w:val=""/>
      <w:lvlJc w:val="start"/>
      <w:pPr>
        <w:tabs>
          <w:tab w:val="num" w:pos="0"/>
        </w:tabs>
        <w:ind w:start="3600" w:hanging="360"/>
      </w:pPr>
      <w:rPr>
        <w:rFonts w:ascii="Wingdings 2" w:hAnsi="Wingdings 2" w:cs="Wingdings 2" w:hint="default"/>
        <w:u w:val="none"/>
      </w:rPr>
    </w:lvl>
    <w:lvl w:ilvl="5">
      <w:start w:val="1"/>
      <w:numFmt w:val="bullet"/>
      <w:lvlText w:val="■"/>
      <w:lvlJc w:val="start"/>
      <w:pPr>
        <w:tabs>
          <w:tab w:val="num" w:pos="0"/>
        </w:tabs>
        <w:ind w:start="4320" w:hanging="360"/>
      </w:pPr>
      <w:rPr>
        <w:rFonts w:ascii="OpenSymbol" w:hAnsi="OpenSymbol" w:cs="OpenSymbol" w:hint="default"/>
        <w:u w:val="none"/>
      </w:rPr>
    </w:lvl>
    <w:lvl w:ilvl="6">
      <w:start w:val="1"/>
      <w:numFmt w:val="bullet"/>
      <w:lvlText w:val=""/>
      <w:lvlJc w:val="start"/>
      <w:pPr>
        <w:tabs>
          <w:tab w:val="num" w:pos="0"/>
        </w:tabs>
        <w:ind w:start="5040" w:hanging="360"/>
      </w:pPr>
      <w:rPr>
        <w:rFonts w:ascii="Wingdings" w:hAnsi="Wingdings" w:cs="Wingdings" w:hint="default"/>
        <w:u w:val="none"/>
      </w:rPr>
    </w:lvl>
    <w:lvl w:ilvl="7">
      <w:start w:val="1"/>
      <w:numFmt w:val="bullet"/>
      <w:lvlText w:val=""/>
      <w:lvlJc w:val="start"/>
      <w:pPr>
        <w:tabs>
          <w:tab w:val="num" w:pos="0"/>
        </w:tabs>
        <w:ind w:start="5760" w:hanging="360"/>
      </w:pPr>
      <w:rPr>
        <w:rFonts w:ascii="Wingdings 2" w:hAnsi="Wingdings 2" w:cs="Wingdings 2" w:hint="default"/>
        <w:u w:val="none"/>
      </w:rPr>
    </w:lvl>
    <w:lvl w:ilvl="8">
      <w:start w:val="1"/>
      <w:numFmt w:val="bullet"/>
      <w:lvlText w:val="■"/>
      <w:lvlJc w:val="start"/>
      <w:pPr>
        <w:tabs>
          <w:tab w:val="num" w:pos="0"/>
        </w:tabs>
        <w:ind w:start="6480" w:hanging="360"/>
      </w:pPr>
      <w:rPr>
        <w:rFonts w:ascii="OpenSymbol" w:hAnsi="OpenSymbol" w:cs="OpenSymbol" w:hint="default"/>
        <w:u w:val="none"/>
      </w:rPr>
    </w:lvl>
  </w:abstractNum>
  <w:abstractNum w:abstractNumId="23">
    <w:lvl w:ilvl="0">
      <w:start w:val="1"/>
      <w:numFmt w:val="bullet"/>
      <w:lvlText w:val=""/>
      <w:lvlJc w:val="start"/>
      <w:pPr>
        <w:tabs>
          <w:tab w:val="num" w:pos="0"/>
        </w:tabs>
        <w:ind w:start="720" w:hanging="360"/>
      </w:pPr>
      <w:rPr>
        <w:rFonts w:ascii="Wingdings" w:hAnsi="Wingdings" w:cs="Wingdings" w:hint="default"/>
        <w:u w:val="none"/>
      </w:rPr>
    </w:lvl>
    <w:lvl w:ilvl="1">
      <w:start w:val="1"/>
      <w:numFmt w:val="bullet"/>
      <w:lvlText w:val=""/>
      <w:lvlJc w:val="start"/>
      <w:pPr>
        <w:tabs>
          <w:tab w:val="num" w:pos="0"/>
        </w:tabs>
        <w:ind w:start="1440" w:hanging="360"/>
      </w:pPr>
      <w:rPr>
        <w:rFonts w:ascii="Wingdings 2" w:hAnsi="Wingdings 2" w:cs="Wingdings 2" w:hint="default"/>
        <w:u w:val="none"/>
      </w:rPr>
    </w:lvl>
    <w:lvl w:ilvl="2">
      <w:start w:val="1"/>
      <w:numFmt w:val="bullet"/>
      <w:lvlText w:val="■"/>
      <w:lvlJc w:val="start"/>
      <w:pPr>
        <w:tabs>
          <w:tab w:val="num" w:pos="0"/>
        </w:tabs>
        <w:ind w:start="2160" w:hanging="360"/>
      </w:pPr>
      <w:rPr>
        <w:rFonts w:ascii="OpenSymbol" w:hAnsi="OpenSymbol" w:cs="OpenSymbol" w:hint="default"/>
        <w:u w:val="none"/>
      </w:rPr>
    </w:lvl>
    <w:lvl w:ilvl="3">
      <w:start w:val="1"/>
      <w:numFmt w:val="bullet"/>
      <w:lvlText w:val=""/>
      <w:lvlJc w:val="start"/>
      <w:pPr>
        <w:tabs>
          <w:tab w:val="num" w:pos="0"/>
        </w:tabs>
        <w:ind w:start="2880" w:hanging="360"/>
      </w:pPr>
      <w:rPr>
        <w:rFonts w:ascii="Wingdings" w:hAnsi="Wingdings" w:cs="Wingdings" w:hint="default"/>
        <w:u w:val="none"/>
      </w:rPr>
    </w:lvl>
    <w:lvl w:ilvl="4">
      <w:start w:val="1"/>
      <w:numFmt w:val="bullet"/>
      <w:lvlText w:val=""/>
      <w:lvlJc w:val="start"/>
      <w:pPr>
        <w:tabs>
          <w:tab w:val="num" w:pos="0"/>
        </w:tabs>
        <w:ind w:start="3600" w:hanging="360"/>
      </w:pPr>
      <w:rPr>
        <w:rFonts w:ascii="Wingdings 2" w:hAnsi="Wingdings 2" w:cs="Wingdings 2" w:hint="default"/>
        <w:u w:val="none"/>
      </w:rPr>
    </w:lvl>
    <w:lvl w:ilvl="5">
      <w:start w:val="1"/>
      <w:numFmt w:val="bullet"/>
      <w:lvlText w:val="■"/>
      <w:lvlJc w:val="start"/>
      <w:pPr>
        <w:tabs>
          <w:tab w:val="num" w:pos="0"/>
        </w:tabs>
        <w:ind w:start="4320" w:hanging="360"/>
      </w:pPr>
      <w:rPr>
        <w:rFonts w:ascii="OpenSymbol" w:hAnsi="OpenSymbol" w:cs="OpenSymbol" w:hint="default"/>
        <w:u w:val="none"/>
      </w:rPr>
    </w:lvl>
    <w:lvl w:ilvl="6">
      <w:start w:val="1"/>
      <w:numFmt w:val="bullet"/>
      <w:lvlText w:val=""/>
      <w:lvlJc w:val="start"/>
      <w:pPr>
        <w:tabs>
          <w:tab w:val="num" w:pos="0"/>
        </w:tabs>
        <w:ind w:start="5040" w:hanging="360"/>
      </w:pPr>
      <w:rPr>
        <w:rFonts w:ascii="Wingdings" w:hAnsi="Wingdings" w:cs="Wingdings" w:hint="default"/>
        <w:u w:val="none"/>
      </w:rPr>
    </w:lvl>
    <w:lvl w:ilvl="7">
      <w:start w:val="1"/>
      <w:numFmt w:val="bullet"/>
      <w:lvlText w:val=""/>
      <w:lvlJc w:val="start"/>
      <w:pPr>
        <w:tabs>
          <w:tab w:val="num" w:pos="0"/>
        </w:tabs>
        <w:ind w:start="5760" w:hanging="360"/>
      </w:pPr>
      <w:rPr>
        <w:rFonts w:ascii="Wingdings 2" w:hAnsi="Wingdings 2" w:cs="Wingdings 2" w:hint="default"/>
        <w:u w:val="none"/>
      </w:rPr>
    </w:lvl>
    <w:lvl w:ilvl="8">
      <w:start w:val="1"/>
      <w:numFmt w:val="bullet"/>
      <w:lvlText w:val="■"/>
      <w:lvlJc w:val="start"/>
      <w:pPr>
        <w:tabs>
          <w:tab w:val="num" w:pos="0"/>
        </w:tabs>
        <w:ind w:start="6480" w:hanging="360"/>
      </w:pPr>
      <w:rPr>
        <w:rFonts w:ascii="OpenSymbol" w:hAnsi="OpenSymbol" w:cs="OpenSymbol" w:hint="default"/>
        <w:u w:val="none"/>
      </w:rPr>
    </w:lvl>
  </w:abstractNum>
  <w:abstractNum w:abstractNumId="24">
    <w:lvl w:ilvl="0">
      <w:start w:val="1"/>
      <w:numFmt w:val="bullet"/>
      <w:lvlText w:val=""/>
      <w:lvlJc w:val="start"/>
      <w:pPr>
        <w:tabs>
          <w:tab w:val="num" w:pos="0"/>
        </w:tabs>
        <w:ind w:start="720" w:hanging="360"/>
      </w:pPr>
      <w:rPr>
        <w:rFonts w:ascii="Wingdings" w:hAnsi="Wingdings" w:cs="Wingdings" w:hint="default"/>
        <w:u w:val="none"/>
      </w:rPr>
    </w:lvl>
    <w:lvl w:ilvl="1">
      <w:start w:val="1"/>
      <w:numFmt w:val="bullet"/>
      <w:lvlText w:val=""/>
      <w:lvlJc w:val="start"/>
      <w:pPr>
        <w:tabs>
          <w:tab w:val="num" w:pos="0"/>
        </w:tabs>
        <w:ind w:start="1440" w:hanging="360"/>
      </w:pPr>
      <w:rPr>
        <w:rFonts w:ascii="Wingdings 2" w:hAnsi="Wingdings 2" w:cs="Wingdings 2" w:hint="default"/>
        <w:u w:val="none"/>
      </w:rPr>
    </w:lvl>
    <w:lvl w:ilvl="2">
      <w:start w:val="1"/>
      <w:numFmt w:val="bullet"/>
      <w:lvlText w:val="■"/>
      <w:lvlJc w:val="start"/>
      <w:pPr>
        <w:tabs>
          <w:tab w:val="num" w:pos="0"/>
        </w:tabs>
        <w:ind w:start="2160" w:hanging="360"/>
      </w:pPr>
      <w:rPr>
        <w:rFonts w:ascii="OpenSymbol" w:hAnsi="OpenSymbol" w:cs="OpenSymbol" w:hint="default"/>
        <w:u w:val="none"/>
      </w:rPr>
    </w:lvl>
    <w:lvl w:ilvl="3">
      <w:start w:val="1"/>
      <w:numFmt w:val="bullet"/>
      <w:lvlText w:val=""/>
      <w:lvlJc w:val="start"/>
      <w:pPr>
        <w:tabs>
          <w:tab w:val="num" w:pos="0"/>
        </w:tabs>
        <w:ind w:start="2880" w:hanging="360"/>
      </w:pPr>
      <w:rPr>
        <w:rFonts w:ascii="Wingdings" w:hAnsi="Wingdings" w:cs="Wingdings" w:hint="default"/>
        <w:u w:val="none"/>
      </w:rPr>
    </w:lvl>
    <w:lvl w:ilvl="4">
      <w:start w:val="1"/>
      <w:numFmt w:val="bullet"/>
      <w:lvlText w:val=""/>
      <w:lvlJc w:val="start"/>
      <w:pPr>
        <w:tabs>
          <w:tab w:val="num" w:pos="0"/>
        </w:tabs>
        <w:ind w:start="3600" w:hanging="360"/>
      </w:pPr>
      <w:rPr>
        <w:rFonts w:ascii="Wingdings 2" w:hAnsi="Wingdings 2" w:cs="Wingdings 2" w:hint="default"/>
        <w:u w:val="none"/>
      </w:rPr>
    </w:lvl>
    <w:lvl w:ilvl="5">
      <w:start w:val="1"/>
      <w:numFmt w:val="bullet"/>
      <w:lvlText w:val="■"/>
      <w:lvlJc w:val="start"/>
      <w:pPr>
        <w:tabs>
          <w:tab w:val="num" w:pos="0"/>
        </w:tabs>
        <w:ind w:start="4320" w:hanging="360"/>
      </w:pPr>
      <w:rPr>
        <w:rFonts w:ascii="OpenSymbol" w:hAnsi="OpenSymbol" w:cs="OpenSymbol" w:hint="default"/>
        <w:u w:val="none"/>
      </w:rPr>
    </w:lvl>
    <w:lvl w:ilvl="6">
      <w:start w:val="1"/>
      <w:numFmt w:val="bullet"/>
      <w:lvlText w:val=""/>
      <w:lvlJc w:val="start"/>
      <w:pPr>
        <w:tabs>
          <w:tab w:val="num" w:pos="0"/>
        </w:tabs>
        <w:ind w:start="5040" w:hanging="360"/>
      </w:pPr>
      <w:rPr>
        <w:rFonts w:ascii="Wingdings" w:hAnsi="Wingdings" w:cs="Wingdings" w:hint="default"/>
        <w:u w:val="none"/>
      </w:rPr>
    </w:lvl>
    <w:lvl w:ilvl="7">
      <w:start w:val="1"/>
      <w:numFmt w:val="bullet"/>
      <w:lvlText w:val=""/>
      <w:lvlJc w:val="start"/>
      <w:pPr>
        <w:tabs>
          <w:tab w:val="num" w:pos="0"/>
        </w:tabs>
        <w:ind w:start="5760" w:hanging="360"/>
      </w:pPr>
      <w:rPr>
        <w:rFonts w:ascii="Wingdings 2" w:hAnsi="Wingdings 2" w:cs="Wingdings 2" w:hint="default"/>
        <w:u w:val="none"/>
      </w:rPr>
    </w:lvl>
    <w:lvl w:ilvl="8">
      <w:start w:val="1"/>
      <w:numFmt w:val="bullet"/>
      <w:lvlText w:val="■"/>
      <w:lvlJc w:val="start"/>
      <w:pPr>
        <w:tabs>
          <w:tab w:val="num" w:pos="0"/>
        </w:tabs>
        <w:ind w:start="6480" w:hanging="360"/>
      </w:pPr>
      <w:rPr>
        <w:rFonts w:ascii="OpenSymbol" w:hAnsi="OpenSymbol" w:cs="OpenSymbol" w:hint="default"/>
        <w:u w:val="none"/>
      </w:rPr>
    </w:lvl>
  </w:abstractNum>
  <w:abstractNum w:abstractNumId="25">
    <w:lvl w:ilvl="0">
      <w:start w:val="1"/>
      <w:numFmt w:val="bullet"/>
      <w:lvlText w:val=""/>
      <w:lvlJc w:val="start"/>
      <w:pPr>
        <w:tabs>
          <w:tab w:val="num" w:pos="0"/>
        </w:tabs>
        <w:ind w:start="720" w:hanging="360"/>
      </w:pPr>
      <w:rPr>
        <w:rFonts w:ascii="Wingdings" w:hAnsi="Wingdings" w:cs="Wingdings" w:hint="default"/>
        <w:u w:val="none"/>
      </w:rPr>
    </w:lvl>
    <w:lvl w:ilvl="1">
      <w:start w:val="1"/>
      <w:numFmt w:val="bullet"/>
      <w:lvlText w:val=""/>
      <w:lvlJc w:val="start"/>
      <w:pPr>
        <w:tabs>
          <w:tab w:val="num" w:pos="0"/>
        </w:tabs>
        <w:ind w:start="1440" w:hanging="360"/>
      </w:pPr>
      <w:rPr>
        <w:rFonts w:ascii="Wingdings 2" w:hAnsi="Wingdings 2" w:cs="Wingdings 2" w:hint="default"/>
        <w:u w:val="none"/>
      </w:rPr>
    </w:lvl>
    <w:lvl w:ilvl="2">
      <w:start w:val="1"/>
      <w:numFmt w:val="bullet"/>
      <w:lvlText w:val="■"/>
      <w:lvlJc w:val="start"/>
      <w:pPr>
        <w:tabs>
          <w:tab w:val="num" w:pos="0"/>
        </w:tabs>
        <w:ind w:start="2160" w:hanging="360"/>
      </w:pPr>
      <w:rPr>
        <w:rFonts w:ascii="OpenSymbol" w:hAnsi="OpenSymbol" w:cs="OpenSymbol" w:hint="default"/>
        <w:u w:val="none"/>
      </w:rPr>
    </w:lvl>
    <w:lvl w:ilvl="3">
      <w:start w:val="1"/>
      <w:numFmt w:val="bullet"/>
      <w:lvlText w:val=""/>
      <w:lvlJc w:val="start"/>
      <w:pPr>
        <w:tabs>
          <w:tab w:val="num" w:pos="0"/>
        </w:tabs>
        <w:ind w:start="2880" w:hanging="360"/>
      </w:pPr>
      <w:rPr>
        <w:rFonts w:ascii="Wingdings" w:hAnsi="Wingdings" w:cs="Wingdings" w:hint="default"/>
        <w:u w:val="none"/>
      </w:rPr>
    </w:lvl>
    <w:lvl w:ilvl="4">
      <w:start w:val="1"/>
      <w:numFmt w:val="bullet"/>
      <w:lvlText w:val=""/>
      <w:lvlJc w:val="start"/>
      <w:pPr>
        <w:tabs>
          <w:tab w:val="num" w:pos="0"/>
        </w:tabs>
        <w:ind w:start="3600" w:hanging="360"/>
      </w:pPr>
      <w:rPr>
        <w:rFonts w:ascii="Wingdings 2" w:hAnsi="Wingdings 2" w:cs="Wingdings 2" w:hint="default"/>
        <w:u w:val="none"/>
      </w:rPr>
    </w:lvl>
    <w:lvl w:ilvl="5">
      <w:start w:val="1"/>
      <w:numFmt w:val="bullet"/>
      <w:lvlText w:val="■"/>
      <w:lvlJc w:val="start"/>
      <w:pPr>
        <w:tabs>
          <w:tab w:val="num" w:pos="0"/>
        </w:tabs>
        <w:ind w:start="4320" w:hanging="360"/>
      </w:pPr>
      <w:rPr>
        <w:rFonts w:ascii="OpenSymbol" w:hAnsi="OpenSymbol" w:cs="OpenSymbol" w:hint="default"/>
        <w:u w:val="none"/>
      </w:rPr>
    </w:lvl>
    <w:lvl w:ilvl="6">
      <w:start w:val="1"/>
      <w:numFmt w:val="bullet"/>
      <w:lvlText w:val=""/>
      <w:lvlJc w:val="start"/>
      <w:pPr>
        <w:tabs>
          <w:tab w:val="num" w:pos="0"/>
        </w:tabs>
        <w:ind w:start="5040" w:hanging="360"/>
      </w:pPr>
      <w:rPr>
        <w:rFonts w:ascii="Wingdings" w:hAnsi="Wingdings" w:cs="Wingdings" w:hint="default"/>
        <w:u w:val="none"/>
      </w:rPr>
    </w:lvl>
    <w:lvl w:ilvl="7">
      <w:start w:val="1"/>
      <w:numFmt w:val="bullet"/>
      <w:lvlText w:val=""/>
      <w:lvlJc w:val="start"/>
      <w:pPr>
        <w:tabs>
          <w:tab w:val="num" w:pos="0"/>
        </w:tabs>
        <w:ind w:start="5760" w:hanging="360"/>
      </w:pPr>
      <w:rPr>
        <w:rFonts w:ascii="Wingdings 2" w:hAnsi="Wingdings 2" w:cs="Wingdings 2" w:hint="default"/>
        <w:u w:val="none"/>
      </w:rPr>
    </w:lvl>
    <w:lvl w:ilvl="8">
      <w:start w:val="1"/>
      <w:numFmt w:val="bullet"/>
      <w:lvlText w:val="■"/>
      <w:lvlJc w:val="start"/>
      <w:pPr>
        <w:tabs>
          <w:tab w:val="num" w:pos="0"/>
        </w:tabs>
        <w:ind w:start="6480" w:hanging="360"/>
      </w:pPr>
      <w:rPr>
        <w:rFonts w:ascii="OpenSymbol" w:hAnsi="OpenSymbol" w:cs="OpenSymbol" w:hint="default"/>
        <w:u w:val="none"/>
      </w:rPr>
    </w:lvl>
  </w:abstractNum>
  <w:abstractNum w:abstractNumId="26">
    <w:lvl w:ilvl="0">
      <w:start w:val="1"/>
      <w:numFmt w:val="bullet"/>
      <w:lvlText w:val=""/>
      <w:lvlJc w:val="start"/>
      <w:pPr>
        <w:tabs>
          <w:tab w:val="num" w:pos="0"/>
        </w:tabs>
        <w:ind w:start="720" w:hanging="360"/>
      </w:pPr>
      <w:rPr>
        <w:rFonts w:ascii="Wingdings" w:hAnsi="Wingdings" w:cs="Wingdings" w:hint="default"/>
        <w:u w:val="none"/>
      </w:rPr>
    </w:lvl>
    <w:lvl w:ilvl="1">
      <w:start w:val="1"/>
      <w:numFmt w:val="bullet"/>
      <w:lvlText w:val=""/>
      <w:lvlJc w:val="start"/>
      <w:pPr>
        <w:tabs>
          <w:tab w:val="num" w:pos="0"/>
        </w:tabs>
        <w:ind w:start="1440" w:hanging="360"/>
      </w:pPr>
      <w:rPr>
        <w:rFonts w:ascii="Wingdings 2" w:hAnsi="Wingdings 2" w:cs="Wingdings 2" w:hint="default"/>
        <w:u w:val="none"/>
      </w:rPr>
    </w:lvl>
    <w:lvl w:ilvl="2">
      <w:start w:val="1"/>
      <w:numFmt w:val="bullet"/>
      <w:lvlText w:val="■"/>
      <w:lvlJc w:val="start"/>
      <w:pPr>
        <w:tabs>
          <w:tab w:val="num" w:pos="0"/>
        </w:tabs>
        <w:ind w:start="2160" w:hanging="360"/>
      </w:pPr>
      <w:rPr>
        <w:rFonts w:ascii="OpenSymbol" w:hAnsi="OpenSymbol" w:cs="OpenSymbol" w:hint="default"/>
        <w:u w:val="none"/>
      </w:rPr>
    </w:lvl>
    <w:lvl w:ilvl="3">
      <w:start w:val="1"/>
      <w:numFmt w:val="bullet"/>
      <w:lvlText w:val=""/>
      <w:lvlJc w:val="start"/>
      <w:pPr>
        <w:tabs>
          <w:tab w:val="num" w:pos="0"/>
        </w:tabs>
        <w:ind w:start="2880" w:hanging="360"/>
      </w:pPr>
      <w:rPr>
        <w:rFonts w:ascii="Wingdings" w:hAnsi="Wingdings" w:cs="Wingdings" w:hint="default"/>
        <w:u w:val="none"/>
      </w:rPr>
    </w:lvl>
    <w:lvl w:ilvl="4">
      <w:start w:val="1"/>
      <w:numFmt w:val="bullet"/>
      <w:lvlText w:val=""/>
      <w:lvlJc w:val="start"/>
      <w:pPr>
        <w:tabs>
          <w:tab w:val="num" w:pos="0"/>
        </w:tabs>
        <w:ind w:start="3600" w:hanging="360"/>
      </w:pPr>
      <w:rPr>
        <w:rFonts w:ascii="Wingdings 2" w:hAnsi="Wingdings 2" w:cs="Wingdings 2" w:hint="default"/>
        <w:u w:val="none"/>
      </w:rPr>
    </w:lvl>
    <w:lvl w:ilvl="5">
      <w:start w:val="1"/>
      <w:numFmt w:val="bullet"/>
      <w:lvlText w:val="■"/>
      <w:lvlJc w:val="start"/>
      <w:pPr>
        <w:tabs>
          <w:tab w:val="num" w:pos="0"/>
        </w:tabs>
        <w:ind w:start="4320" w:hanging="360"/>
      </w:pPr>
      <w:rPr>
        <w:rFonts w:ascii="OpenSymbol" w:hAnsi="OpenSymbol" w:cs="OpenSymbol" w:hint="default"/>
        <w:u w:val="none"/>
      </w:rPr>
    </w:lvl>
    <w:lvl w:ilvl="6">
      <w:start w:val="1"/>
      <w:numFmt w:val="bullet"/>
      <w:lvlText w:val=""/>
      <w:lvlJc w:val="start"/>
      <w:pPr>
        <w:tabs>
          <w:tab w:val="num" w:pos="0"/>
        </w:tabs>
        <w:ind w:start="5040" w:hanging="360"/>
      </w:pPr>
      <w:rPr>
        <w:rFonts w:ascii="Wingdings" w:hAnsi="Wingdings" w:cs="Wingdings" w:hint="default"/>
        <w:u w:val="none"/>
      </w:rPr>
    </w:lvl>
    <w:lvl w:ilvl="7">
      <w:start w:val="1"/>
      <w:numFmt w:val="bullet"/>
      <w:lvlText w:val=""/>
      <w:lvlJc w:val="start"/>
      <w:pPr>
        <w:tabs>
          <w:tab w:val="num" w:pos="0"/>
        </w:tabs>
        <w:ind w:start="5760" w:hanging="360"/>
      </w:pPr>
      <w:rPr>
        <w:rFonts w:ascii="Wingdings 2" w:hAnsi="Wingdings 2" w:cs="Wingdings 2" w:hint="default"/>
        <w:u w:val="none"/>
      </w:rPr>
    </w:lvl>
    <w:lvl w:ilvl="8">
      <w:start w:val="1"/>
      <w:numFmt w:val="bullet"/>
      <w:lvlText w:val="■"/>
      <w:lvlJc w:val="start"/>
      <w:pPr>
        <w:tabs>
          <w:tab w:val="num" w:pos="0"/>
        </w:tabs>
        <w:ind w:start="6480" w:hanging="360"/>
      </w:pPr>
      <w:rPr>
        <w:rFonts w:ascii="OpenSymbol" w:hAnsi="OpenSymbol" w:cs="OpenSymbol" w:hint="default"/>
        <w:u w:val="none"/>
      </w:rPr>
    </w:lvl>
  </w:abstractNum>
  <w:abstractNum w:abstractNumId="27">
    <w:lvl w:ilvl="0">
      <w:start w:val="1"/>
      <w:numFmt w:val="bullet"/>
      <w:lvlText w:val=""/>
      <w:lvlJc w:val="start"/>
      <w:pPr>
        <w:tabs>
          <w:tab w:val="num" w:pos="0"/>
        </w:tabs>
        <w:ind w:start="720" w:hanging="360"/>
      </w:pPr>
      <w:rPr>
        <w:rFonts w:ascii="Wingdings" w:hAnsi="Wingdings" w:cs="Wingdings" w:hint="default"/>
        <w:u w:val="none"/>
      </w:rPr>
    </w:lvl>
    <w:lvl w:ilvl="1">
      <w:start w:val="1"/>
      <w:numFmt w:val="bullet"/>
      <w:lvlText w:val=""/>
      <w:lvlJc w:val="start"/>
      <w:pPr>
        <w:tabs>
          <w:tab w:val="num" w:pos="0"/>
        </w:tabs>
        <w:ind w:start="1440" w:hanging="360"/>
      </w:pPr>
      <w:rPr>
        <w:rFonts w:ascii="Wingdings 2" w:hAnsi="Wingdings 2" w:cs="Wingdings 2" w:hint="default"/>
        <w:u w:val="none"/>
      </w:rPr>
    </w:lvl>
    <w:lvl w:ilvl="2">
      <w:start w:val="1"/>
      <w:numFmt w:val="bullet"/>
      <w:lvlText w:val="■"/>
      <w:lvlJc w:val="start"/>
      <w:pPr>
        <w:tabs>
          <w:tab w:val="num" w:pos="0"/>
        </w:tabs>
        <w:ind w:start="2160" w:hanging="360"/>
      </w:pPr>
      <w:rPr>
        <w:rFonts w:ascii="OpenSymbol" w:hAnsi="OpenSymbol" w:cs="OpenSymbol" w:hint="default"/>
        <w:u w:val="none"/>
      </w:rPr>
    </w:lvl>
    <w:lvl w:ilvl="3">
      <w:start w:val="1"/>
      <w:numFmt w:val="bullet"/>
      <w:lvlText w:val=""/>
      <w:lvlJc w:val="start"/>
      <w:pPr>
        <w:tabs>
          <w:tab w:val="num" w:pos="0"/>
        </w:tabs>
        <w:ind w:start="2880" w:hanging="360"/>
      </w:pPr>
      <w:rPr>
        <w:rFonts w:ascii="Wingdings" w:hAnsi="Wingdings" w:cs="Wingdings" w:hint="default"/>
        <w:u w:val="none"/>
      </w:rPr>
    </w:lvl>
    <w:lvl w:ilvl="4">
      <w:start w:val="1"/>
      <w:numFmt w:val="bullet"/>
      <w:lvlText w:val=""/>
      <w:lvlJc w:val="start"/>
      <w:pPr>
        <w:tabs>
          <w:tab w:val="num" w:pos="0"/>
        </w:tabs>
        <w:ind w:start="3600" w:hanging="360"/>
      </w:pPr>
      <w:rPr>
        <w:rFonts w:ascii="Wingdings 2" w:hAnsi="Wingdings 2" w:cs="Wingdings 2" w:hint="default"/>
        <w:u w:val="none"/>
      </w:rPr>
    </w:lvl>
    <w:lvl w:ilvl="5">
      <w:start w:val="1"/>
      <w:numFmt w:val="bullet"/>
      <w:lvlText w:val="■"/>
      <w:lvlJc w:val="start"/>
      <w:pPr>
        <w:tabs>
          <w:tab w:val="num" w:pos="0"/>
        </w:tabs>
        <w:ind w:start="4320" w:hanging="360"/>
      </w:pPr>
      <w:rPr>
        <w:rFonts w:ascii="OpenSymbol" w:hAnsi="OpenSymbol" w:cs="OpenSymbol" w:hint="default"/>
        <w:u w:val="none"/>
      </w:rPr>
    </w:lvl>
    <w:lvl w:ilvl="6">
      <w:start w:val="1"/>
      <w:numFmt w:val="bullet"/>
      <w:lvlText w:val=""/>
      <w:lvlJc w:val="start"/>
      <w:pPr>
        <w:tabs>
          <w:tab w:val="num" w:pos="0"/>
        </w:tabs>
        <w:ind w:start="5040" w:hanging="360"/>
      </w:pPr>
      <w:rPr>
        <w:rFonts w:ascii="Wingdings" w:hAnsi="Wingdings" w:cs="Wingdings" w:hint="default"/>
        <w:u w:val="none"/>
      </w:rPr>
    </w:lvl>
    <w:lvl w:ilvl="7">
      <w:start w:val="1"/>
      <w:numFmt w:val="bullet"/>
      <w:lvlText w:val=""/>
      <w:lvlJc w:val="start"/>
      <w:pPr>
        <w:tabs>
          <w:tab w:val="num" w:pos="0"/>
        </w:tabs>
        <w:ind w:start="5760" w:hanging="360"/>
      </w:pPr>
      <w:rPr>
        <w:rFonts w:ascii="Wingdings 2" w:hAnsi="Wingdings 2" w:cs="Wingdings 2" w:hint="default"/>
        <w:u w:val="none"/>
      </w:rPr>
    </w:lvl>
    <w:lvl w:ilvl="8">
      <w:start w:val="1"/>
      <w:numFmt w:val="bullet"/>
      <w:lvlText w:val="■"/>
      <w:lvlJc w:val="start"/>
      <w:pPr>
        <w:tabs>
          <w:tab w:val="num" w:pos="0"/>
        </w:tabs>
        <w:ind w:start="6480" w:hanging="360"/>
      </w:pPr>
      <w:rPr>
        <w:rFonts w:ascii="OpenSymbol" w:hAnsi="OpenSymbol" w:cs="OpenSymbol" w:hint="default"/>
        <w:u w:val="none"/>
      </w:rPr>
    </w:lvl>
  </w:abstractNum>
  <w:abstractNum w:abstractNumId="28">
    <w:lvl w:ilvl="0">
      <w:start w:val="1"/>
      <w:numFmt w:val="bullet"/>
      <w:lvlText w:val=""/>
      <w:lvlJc w:val="start"/>
      <w:pPr>
        <w:tabs>
          <w:tab w:val="num" w:pos="0"/>
        </w:tabs>
        <w:ind w:start="720" w:hanging="360"/>
      </w:pPr>
      <w:rPr>
        <w:rFonts w:ascii="Wingdings" w:hAnsi="Wingdings" w:cs="Wingdings" w:hint="default"/>
        <w:u w:val="none"/>
      </w:rPr>
    </w:lvl>
    <w:lvl w:ilvl="1">
      <w:start w:val="1"/>
      <w:numFmt w:val="bullet"/>
      <w:lvlText w:val=""/>
      <w:lvlJc w:val="start"/>
      <w:pPr>
        <w:tabs>
          <w:tab w:val="num" w:pos="0"/>
        </w:tabs>
        <w:ind w:start="1440" w:hanging="360"/>
      </w:pPr>
      <w:rPr>
        <w:rFonts w:ascii="Wingdings 2" w:hAnsi="Wingdings 2" w:cs="Wingdings 2" w:hint="default"/>
        <w:u w:val="none"/>
      </w:rPr>
    </w:lvl>
    <w:lvl w:ilvl="2">
      <w:start w:val="1"/>
      <w:numFmt w:val="bullet"/>
      <w:lvlText w:val="■"/>
      <w:lvlJc w:val="start"/>
      <w:pPr>
        <w:tabs>
          <w:tab w:val="num" w:pos="0"/>
        </w:tabs>
        <w:ind w:start="2160" w:hanging="360"/>
      </w:pPr>
      <w:rPr>
        <w:rFonts w:ascii="OpenSymbol" w:hAnsi="OpenSymbol" w:cs="OpenSymbol" w:hint="default"/>
        <w:u w:val="none"/>
      </w:rPr>
    </w:lvl>
    <w:lvl w:ilvl="3">
      <w:start w:val="1"/>
      <w:numFmt w:val="bullet"/>
      <w:lvlText w:val=""/>
      <w:lvlJc w:val="start"/>
      <w:pPr>
        <w:tabs>
          <w:tab w:val="num" w:pos="0"/>
        </w:tabs>
        <w:ind w:start="2880" w:hanging="360"/>
      </w:pPr>
      <w:rPr>
        <w:rFonts w:ascii="Wingdings" w:hAnsi="Wingdings" w:cs="Wingdings" w:hint="default"/>
        <w:u w:val="none"/>
      </w:rPr>
    </w:lvl>
    <w:lvl w:ilvl="4">
      <w:start w:val="1"/>
      <w:numFmt w:val="bullet"/>
      <w:lvlText w:val=""/>
      <w:lvlJc w:val="start"/>
      <w:pPr>
        <w:tabs>
          <w:tab w:val="num" w:pos="0"/>
        </w:tabs>
        <w:ind w:start="3600" w:hanging="360"/>
      </w:pPr>
      <w:rPr>
        <w:rFonts w:ascii="Wingdings 2" w:hAnsi="Wingdings 2" w:cs="Wingdings 2" w:hint="default"/>
        <w:u w:val="none"/>
      </w:rPr>
    </w:lvl>
    <w:lvl w:ilvl="5">
      <w:start w:val="1"/>
      <w:numFmt w:val="bullet"/>
      <w:lvlText w:val="■"/>
      <w:lvlJc w:val="start"/>
      <w:pPr>
        <w:tabs>
          <w:tab w:val="num" w:pos="0"/>
        </w:tabs>
        <w:ind w:start="4320" w:hanging="360"/>
      </w:pPr>
      <w:rPr>
        <w:rFonts w:ascii="OpenSymbol" w:hAnsi="OpenSymbol" w:cs="OpenSymbol" w:hint="default"/>
        <w:u w:val="none"/>
      </w:rPr>
    </w:lvl>
    <w:lvl w:ilvl="6">
      <w:start w:val="1"/>
      <w:numFmt w:val="bullet"/>
      <w:lvlText w:val=""/>
      <w:lvlJc w:val="start"/>
      <w:pPr>
        <w:tabs>
          <w:tab w:val="num" w:pos="0"/>
        </w:tabs>
        <w:ind w:start="5040" w:hanging="360"/>
      </w:pPr>
      <w:rPr>
        <w:rFonts w:ascii="Wingdings" w:hAnsi="Wingdings" w:cs="Wingdings" w:hint="default"/>
        <w:u w:val="none"/>
      </w:rPr>
    </w:lvl>
    <w:lvl w:ilvl="7">
      <w:start w:val="1"/>
      <w:numFmt w:val="bullet"/>
      <w:lvlText w:val=""/>
      <w:lvlJc w:val="start"/>
      <w:pPr>
        <w:tabs>
          <w:tab w:val="num" w:pos="0"/>
        </w:tabs>
        <w:ind w:start="5760" w:hanging="360"/>
      </w:pPr>
      <w:rPr>
        <w:rFonts w:ascii="Wingdings 2" w:hAnsi="Wingdings 2" w:cs="Wingdings 2" w:hint="default"/>
        <w:u w:val="none"/>
      </w:rPr>
    </w:lvl>
    <w:lvl w:ilvl="8">
      <w:start w:val="1"/>
      <w:numFmt w:val="bullet"/>
      <w:lvlText w:val="■"/>
      <w:lvlJc w:val="start"/>
      <w:pPr>
        <w:tabs>
          <w:tab w:val="num" w:pos="0"/>
        </w:tabs>
        <w:ind w:start="6480" w:hanging="360"/>
      </w:pPr>
      <w:rPr>
        <w:rFonts w:ascii="OpenSymbol" w:hAnsi="OpenSymbol" w:cs="OpenSymbol" w:hint="default"/>
        <w:u w:val="none"/>
      </w:rPr>
    </w:lvl>
  </w:abstractNum>
  <w:abstractNum w:abstractNumId="29">
    <w:lvl w:ilvl="0">
      <w:start w:val="1"/>
      <w:numFmt w:val="bullet"/>
      <w:lvlText w:val=""/>
      <w:lvlJc w:val="start"/>
      <w:pPr>
        <w:tabs>
          <w:tab w:val="num" w:pos="0"/>
        </w:tabs>
        <w:ind w:start="720" w:hanging="360"/>
      </w:pPr>
      <w:rPr>
        <w:rFonts w:ascii="Wingdings" w:hAnsi="Wingdings" w:cs="Wingdings" w:hint="default"/>
        <w:u w:val="none"/>
      </w:rPr>
    </w:lvl>
    <w:lvl w:ilvl="1">
      <w:start w:val="1"/>
      <w:numFmt w:val="bullet"/>
      <w:lvlText w:val=""/>
      <w:lvlJc w:val="start"/>
      <w:pPr>
        <w:tabs>
          <w:tab w:val="num" w:pos="0"/>
        </w:tabs>
        <w:ind w:start="1440" w:hanging="360"/>
      </w:pPr>
      <w:rPr>
        <w:rFonts w:ascii="Wingdings 2" w:hAnsi="Wingdings 2" w:cs="Wingdings 2" w:hint="default"/>
        <w:u w:val="none"/>
      </w:rPr>
    </w:lvl>
    <w:lvl w:ilvl="2">
      <w:start w:val="1"/>
      <w:numFmt w:val="bullet"/>
      <w:lvlText w:val="■"/>
      <w:lvlJc w:val="start"/>
      <w:pPr>
        <w:tabs>
          <w:tab w:val="num" w:pos="0"/>
        </w:tabs>
        <w:ind w:start="2160" w:hanging="360"/>
      </w:pPr>
      <w:rPr>
        <w:rFonts w:ascii="OpenSymbol" w:hAnsi="OpenSymbol" w:cs="OpenSymbol" w:hint="default"/>
        <w:u w:val="none"/>
      </w:rPr>
    </w:lvl>
    <w:lvl w:ilvl="3">
      <w:start w:val="1"/>
      <w:numFmt w:val="bullet"/>
      <w:lvlText w:val=""/>
      <w:lvlJc w:val="start"/>
      <w:pPr>
        <w:tabs>
          <w:tab w:val="num" w:pos="0"/>
        </w:tabs>
        <w:ind w:start="2880" w:hanging="360"/>
      </w:pPr>
      <w:rPr>
        <w:rFonts w:ascii="Wingdings" w:hAnsi="Wingdings" w:cs="Wingdings" w:hint="default"/>
        <w:u w:val="none"/>
      </w:rPr>
    </w:lvl>
    <w:lvl w:ilvl="4">
      <w:start w:val="1"/>
      <w:numFmt w:val="bullet"/>
      <w:lvlText w:val=""/>
      <w:lvlJc w:val="start"/>
      <w:pPr>
        <w:tabs>
          <w:tab w:val="num" w:pos="0"/>
        </w:tabs>
        <w:ind w:start="3600" w:hanging="360"/>
      </w:pPr>
      <w:rPr>
        <w:rFonts w:ascii="Wingdings 2" w:hAnsi="Wingdings 2" w:cs="Wingdings 2" w:hint="default"/>
        <w:u w:val="none"/>
      </w:rPr>
    </w:lvl>
    <w:lvl w:ilvl="5">
      <w:start w:val="1"/>
      <w:numFmt w:val="bullet"/>
      <w:lvlText w:val="■"/>
      <w:lvlJc w:val="start"/>
      <w:pPr>
        <w:tabs>
          <w:tab w:val="num" w:pos="0"/>
        </w:tabs>
        <w:ind w:start="4320" w:hanging="360"/>
      </w:pPr>
      <w:rPr>
        <w:rFonts w:ascii="OpenSymbol" w:hAnsi="OpenSymbol" w:cs="OpenSymbol" w:hint="default"/>
        <w:u w:val="none"/>
      </w:rPr>
    </w:lvl>
    <w:lvl w:ilvl="6">
      <w:start w:val="1"/>
      <w:numFmt w:val="bullet"/>
      <w:lvlText w:val=""/>
      <w:lvlJc w:val="start"/>
      <w:pPr>
        <w:tabs>
          <w:tab w:val="num" w:pos="0"/>
        </w:tabs>
        <w:ind w:start="5040" w:hanging="360"/>
      </w:pPr>
      <w:rPr>
        <w:rFonts w:ascii="Wingdings" w:hAnsi="Wingdings" w:cs="Wingdings" w:hint="default"/>
        <w:u w:val="none"/>
      </w:rPr>
    </w:lvl>
    <w:lvl w:ilvl="7">
      <w:start w:val="1"/>
      <w:numFmt w:val="bullet"/>
      <w:lvlText w:val=""/>
      <w:lvlJc w:val="start"/>
      <w:pPr>
        <w:tabs>
          <w:tab w:val="num" w:pos="0"/>
        </w:tabs>
        <w:ind w:start="5760" w:hanging="360"/>
      </w:pPr>
      <w:rPr>
        <w:rFonts w:ascii="Wingdings 2" w:hAnsi="Wingdings 2" w:cs="Wingdings 2" w:hint="default"/>
        <w:u w:val="none"/>
      </w:rPr>
    </w:lvl>
    <w:lvl w:ilvl="8">
      <w:start w:val="1"/>
      <w:numFmt w:val="bullet"/>
      <w:lvlText w:val="■"/>
      <w:lvlJc w:val="start"/>
      <w:pPr>
        <w:tabs>
          <w:tab w:val="num" w:pos="0"/>
        </w:tabs>
        <w:ind w:start="6480" w:hanging="360"/>
      </w:pPr>
      <w:rPr>
        <w:rFonts w:ascii="OpenSymbol" w:hAnsi="OpenSymbol" w:cs="OpenSymbol" w:hint="default"/>
        <w:u w:val="none"/>
      </w:rPr>
    </w:lvl>
  </w:abstractNum>
  <w:abstractNum w:abstractNumId="30">
    <w:lvl w:ilvl="0">
      <w:start w:val="1"/>
      <w:numFmt w:val="bullet"/>
      <w:lvlText w:val=""/>
      <w:lvlJc w:val="start"/>
      <w:pPr>
        <w:tabs>
          <w:tab w:val="num" w:pos="0"/>
        </w:tabs>
        <w:ind w:start="720" w:hanging="360"/>
      </w:pPr>
      <w:rPr>
        <w:rFonts w:ascii="Wingdings" w:hAnsi="Wingdings" w:cs="Wingdings" w:hint="default"/>
        <w:u w:val="none"/>
      </w:rPr>
    </w:lvl>
    <w:lvl w:ilvl="1">
      <w:start w:val="1"/>
      <w:numFmt w:val="bullet"/>
      <w:lvlText w:val=""/>
      <w:lvlJc w:val="start"/>
      <w:pPr>
        <w:tabs>
          <w:tab w:val="num" w:pos="0"/>
        </w:tabs>
        <w:ind w:start="1440" w:hanging="360"/>
      </w:pPr>
      <w:rPr>
        <w:rFonts w:ascii="Wingdings 2" w:hAnsi="Wingdings 2" w:cs="Wingdings 2" w:hint="default"/>
        <w:u w:val="none"/>
      </w:rPr>
    </w:lvl>
    <w:lvl w:ilvl="2">
      <w:start w:val="1"/>
      <w:numFmt w:val="bullet"/>
      <w:lvlText w:val="■"/>
      <w:lvlJc w:val="start"/>
      <w:pPr>
        <w:tabs>
          <w:tab w:val="num" w:pos="0"/>
        </w:tabs>
        <w:ind w:start="2160" w:hanging="360"/>
      </w:pPr>
      <w:rPr>
        <w:rFonts w:ascii="OpenSymbol" w:hAnsi="OpenSymbol" w:cs="OpenSymbol" w:hint="default"/>
        <w:u w:val="none"/>
      </w:rPr>
    </w:lvl>
    <w:lvl w:ilvl="3">
      <w:start w:val="1"/>
      <w:numFmt w:val="bullet"/>
      <w:lvlText w:val=""/>
      <w:lvlJc w:val="start"/>
      <w:pPr>
        <w:tabs>
          <w:tab w:val="num" w:pos="0"/>
        </w:tabs>
        <w:ind w:start="2880" w:hanging="360"/>
      </w:pPr>
      <w:rPr>
        <w:rFonts w:ascii="Wingdings" w:hAnsi="Wingdings" w:cs="Wingdings" w:hint="default"/>
        <w:u w:val="none"/>
      </w:rPr>
    </w:lvl>
    <w:lvl w:ilvl="4">
      <w:start w:val="1"/>
      <w:numFmt w:val="bullet"/>
      <w:lvlText w:val=""/>
      <w:lvlJc w:val="start"/>
      <w:pPr>
        <w:tabs>
          <w:tab w:val="num" w:pos="0"/>
        </w:tabs>
        <w:ind w:start="3600" w:hanging="360"/>
      </w:pPr>
      <w:rPr>
        <w:rFonts w:ascii="Wingdings 2" w:hAnsi="Wingdings 2" w:cs="Wingdings 2" w:hint="default"/>
        <w:u w:val="none"/>
      </w:rPr>
    </w:lvl>
    <w:lvl w:ilvl="5">
      <w:start w:val="1"/>
      <w:numFmt w:val="bullet"/>
      <w:lvlText w:val="■"/>
      <w:lvlJc w:val="start"/>
      <w:pPr>
        <w:tabs>
          <w:tab w:val="num" w:pos="0"/>
        </w:tabs>
        <w:ind w:start="4320" w:hanging="360"/>
      </w:pPr>
      <w:rPr>
        <w:rFonts w:ascii="OpenSymbol" w:hAnsi="OpenSymbol" w:cs="OpenSymbol" w:hint="default"/>
        <w:u w:val="none"/>
      </w:rPr>
    </w:lvl>
    <w:lvl w:ilvl="6">
      <w:start w:val="1"/>
      <w:numFmt w:val="bullet"/>
      <w:lvlText w:val=""/>
      <w:lvlJc w:val="start"/>
      <w:pPr>
        <w:tabs>
          <w:tab w:val="num" w:pos="0"/>
        </w:tabs>
        <w:ind w:start="5040" w:hanging="360"/>
      </w:pPr>
      <w:rPr>
        <w:rFonts w:ascii="Wingdings" w:hAnsi="Wingdings" w:cs="Wingdings" w:hint="default"/>
        <w:u w:val="none"/>
      </w:rPr>
    </w:lvl>
    <w:lvl w:ilvl="7">
      <w:start w:val="1"/>
      <w:numFmt w:val="bullet"/>
      <w:lvlText w:val=""/>
      <w:lvlJc w:val="start"/>
      <w:pPr>
        <w:tabs>
          <w:tab w:val="num" w:pos="0"/>
        </w:tabs>
        <w:ind w:start="5760" w:hanging="360"/>
      </w:pPr>
      <w:rPr>
        <w:rFonts w:ascii="Wingdings 2" w:hAnsi="Wingdings 2" w:cs="Wingdings 2" w:hint="default"/>
        <w:u w:val="none"/>
      </w:rPr>
    </w:lvl>
    <w:lvl w:ilvl="8">
      <w:start w:val="1"/>
      <w:numFmt w:val="bullet"/>
      <w:lvlText w:val="■"/>
      <w:lvlJc w:val="start"/>
      <w:pPr>
        <w:tabs>
          <w:tab w:val="num" w:pos="0"/>
        </w:tabs>
        <w:ind w:start="6480" w:hanging="360"/>
      </w:pPr>
      <w:rPr>
        <w:rFonts w:ascii="OpenSymbol" w:hAnsi="OpenSymbol" w:cs="OpenSymbol" w:hint="default"/>
        <w:u w:val="none"/>
      </w:rPr>
    </w:lvl>
  </w:abstractNum>
  <w:abstractNum w:abstractNumId="31">
    <w:lvl w:ilvl="0">
      <w:start w:val="1"/>
      <w:numFmt w:val="bullet"/>
      <w:lvlText w:val=""/>
      <w:lvlJc w:val="start"/>
      <w:pPr>
        <w:tabs>
          <w:tab w:val="num" w:pos="0"/>
        </w:tabs>
        <w:ind w:start="720" w:hanging="360"/>
      </w:pPr>
      <w:rPr>
        <w:rFonts w:ascii="Wingdings" w:hAnsi="Wingdings" w:cs="Wingdings" w:hint="default"/>
        <w:u w:val="none"/>
      </w:rPr>
    </w:lvl>
    <w:lvl w:ilvl="1">
      <w:start w:val="1"/>
      <w:numFmt w:val="bullet"/>
      <w:lvlText w:val=""/>
      <w:lvlJc w:val="start"/>
      <w:pPr>
        <w:tabs>
          <w:tab w:val="num" w:pos="0"/>
        </w:tabs>
        <w:ind w:start="1440" w:hanging="360"/>
      </w:pPr>
      <w:rPr>
        <w:rFonts w:ascii="Wingdings 2" w:hAnsi="Wingdings 2" w:cs="Wingdings 2" w:hint="default"/>
        <w:u w:val="none"/>
      </w:rPr>
    </w:lvl>
    <w:lvl w:ilvl="2">
      <w:start w:val="1"/>
      <w:numFmt w:val="bullet"/>
      <w:lvlText w:val="■"/>
      <w:lvlJc w:val="start"/>
      <w:pPr>
        <w:tabs>
          <w:tab w:val="num" w:pos="0"/>
        </w:tabs>
        <w:ind w:start="2160" w:hanging="360"/>
      </w:pPr>
      <w:rPr>
        <w:rFonts w:ascii="OpenSymbol" w:hAnsi="OpenSymbol" w:cs="OpenSymbol" w:hint="default"/>
        <w:u w:val="none"/>
      </w:rPr>
    </w:lvl>
    <w:lvl w:ilvl="3">
      <w:start w:val="1"/>
      <w:numFmt w:val="bullet"/>
      <w:lvlText w:val=""/>
      <w:lvlJc w:val="start"/>
      <w:pPr>
        <w:tabs>
          <w:tab w:val="num" w:pos="0"/>
        </w:tabs>
        <w:ind w:start="2880" w:hanging="360"/>
      </w:pPr>
      <w:rPr>
        <w:rFonts w:ascii="Wingdings" w:hAnsi="Wingdings" w:cs="Wingdings" w:hint="default"/>
        <w:u w:val="none"/>
      </w:rPr>
    </w:lvl>
    <w:lvl w:ilvl="4">
      <w:start w:val="1"/>
      <w:numFmt w:val="bullet"/>
      <w:lvlText w:val=""/>
      <w:lvlJc w:val="start"/>
      <w:pPr>
        <w:tabs>
          <w:tab w:val="num" w:pos="0"/>
        </w:tabs>
        <w:ind w:start="3600" w:hanging="360"/>
      </w:pPr>
      <w:rPr>
        <w:rFonts w:ascii="Wingdings 2" w:hAnsi="Wingdings 2" w:cs="Wingdings 2" w:hint="default"/>
        <w:u w:val="none"/>
      </w:rPr>
    </w:lvl>
    <w:lvl w:ilvl="5">
      <w:start w:val="1"/>
      <w:numFmt w:val="bullet"/>
      <w:lvlText w:val="■"/>
      <w:lvlJc w:val="start"/>
      <w:pPr>
        <w:tabs>
          <w:tab w:val="num" w:pos="0"/>
        </w:tabs>
        <w:ind w:start="4320" w:hanging="360"/>
      </w:pPr>
      <w:rPr>
        <w:rFonts w:ascii="OpenSymbol" w:hAnsi="OpenSymbol" w:cs="OpenSymbol" w:hint="default"/>
        <w:u w:val="none"/>
      </w:rPr>
    </w:lvl>
    <w:lvl w:ilvl="6">
      <w:start w:val="1"/>
      <w:numFmt w:val="bullet"/>
      <w:lvlText w:val=""/>
      <w:lvlJc w:val="start"/>
      <w:pPr>
        <w:tabs>
          <w:tab w:val="num" w:pos="0"/>
        </w:tabs>
        <w:ind w:start="5040" w:hanging="360"/>
      </w:pPr>
      <w:rPr>
        <w:rFonts w:ascii="Wingdings" w:hAnsi="Wingdings" w:cs="Wingdings" w:hint="default"/>
        <w:u w:val="none"/>
      </w:rPr>
    </w:lvl>
    <w:lvl w:ilvl="7">
      <w:start w:val="1"/>
      <w:numFmt w:val="bullet"/>
      <w:lvlText w:val=""/>
      <w:lvlJc w:val="start"/>
      <w:pPr>
        <w:tabs>
          <w:tab w:val="num" w:pos="0"/>
        </w:tabs>
        <w:ind w:start="5760" w:hanging="360"/>
      </w:pPr>
      <w:rPr>
        <w:rFonts w:ascii="Wingdings 2" w:hAnsi="Wingdings 2" w:cs="Wingdings 2" w:hint="default"/>
        <w:u w:val="none"/>
      </w:rPr>
    </w:lvl>
    <w:lvl w:ilvl="8">
      <w:start w:val="1"/>
      <w:numFmt w:val="bullet"/>
      <w:lvlText w:val="■"/>
      <w:lvlJc w:val="start"/>
      <w:pPr>
        <w:tabs>
          <w:tab w:val="num" w:pos="0"/>
        </w:tabs>
        <w:ind w:start="6480" w:hanging="360"/>
      </w:pPr>
      <w:rPr>
        <w:rFonts w:ascii="OpenSymbol" w:hAnsi="OpenSymbol" w:cs="OpenSymbol" w:hint="default"/>
        <w:u w:val="none"/>
      </w:rPr>
    </w:lvl>
  </w:abstractNum>
  <w:abstractNum w:abstractNumId="32">
    <w:lvl w:ilvl="0">
      <w:start w:val="1"/>
      <w:numFmt w:val="bullet"/>
      <w:lvlText w:val=""/>
      <w:lvlJc w:val="start"/>
      <w:pPr>
        <w:tabs>
          <w:tab w:val="num" w:pos="0"/>
        </w:tabs>
        <w:ind w:start="720" w:hanging="360"/>
      </w:pPr>
      <w:rPr>
        <w:rFonts w:ascii="Wingdings" w:hAnsi="Wingdings" w:cs="Wingdings" w:hint="default"/>
        <w:u w:val="none"/>
      </w:rPr>
    </w:lvl>
    <w:lvl w:ilvl="1">
      <w:start w:val="1"/>
      <w:numFmt w:val="bullet"/>
      <w:lvlText w:val=""/>
      <w:lvlJc w:val="start"/>
      <w:pPr>
        <w:tabs>
          <w:tab w:val="num" w:pos="0"/>
        </w:tabs>
        <w:ind w:start="1440" w:hanging="360"/>
      </w:pPr>
      <w:rPr>
        <w:rFonts w:ascii="Wingdings 2" w:hAnsi="Wingdings 2" w:cs="Wingdings 2" w:hint="default"/>
        <w:u w:val="none"/>
      </w:rPr>
    </w:lvl>
    <w:lvl w:ilvl="2">
      <w:start w:val="1"/>
      <w:numFmt w:val="bullet"/>
      <w:lvlText w:val="■"/>
      <w:lvlJc w:val="start"/>
      <w:pPr>
        <w:tabs>
          <w:tab w:val="num" w:pos="0"/>
        </w:tabs>
        <w:ind w:start="2160" w:hanging="360"/>
      </w:pPr>
      <w:rPr>
        <w:rFonts w:ascii="OpenSymbol" w:hAnsi="OpenSymbol" w:cs="OpenSymbol" w:hint="default"/>
        <w:u w:val="none"/>
      </w:rPr>
    </w:lvl>
    <w:lvl w:ilvl="3">
      <w:start w:val="1"/>
      <w:numFmt w:val="bullet"/>
      <w:lvlText w:val=""/>
      <w:lvlJc w:val="start"/>
      <w:pPr>
        <w:tabs>
          <w:tab w:val="num" w:pos="0"/>
        </w:tabs>
        <w:ind w:start="2880" w:hanging="360"/>
      </w:pPr>
      <w:rPr>
        <w:rFonts w:ascii="Wingdings" w:hAnsi="Wingdings" w:cs="Wingdings" w:hint="default"/>
        <w:u w:val="none"/>
      </w:rPr>
    </w:lvl>
    <w:lvl w:ilvl="4">
      <w:start w:val="1"/>
      <w:numFmt w:val="bullet"/>
      <w:lvlText w:val=""/>
      <w:lvlJc w:val="start"/>
      <w:pPr>
        <w:tabs>
          <w:tab w:val="num" w:pos="0"/>
        </w:tabs>
        <w:ind w:start="3600" w:hanging="360"/>
      </w:pPr>
      <w:rPr>
        <w:rFonts w:ascii="Wingdings 2" w:hAnsi="Wingdings 2" w:cs="Wingdings 2" w:hint="default"/>
        <w:u w:val="none"/>
      </w:rPr>
    </w:lvl>
    <w:lvl w:ilvl="5">
      <w:start w:val="1"/>
      <w:numFmt w:val="bullet"/>
      <w:lvlText w:val="■"/>
      <w:lvlJc w:val="start"/>
      <w:pPr>
        <w:tabs>
          <w:tab w:val="num" w:pos="0"/>
        </w:tabs>
        <w:ind w:start="4320" w:hanging="360"/>
      </w:pPr>
      <w:rPr>
        <w:rFonts w:ascii="OpenSymbol" w:hAnsi="OpenSymbol" w:cs="OpenSymbol" w:hint="default"/>
        <w:u w:val="none"/>
      </w:rPr>
    </w:lvl>
    <w:lvl w:ilvl="6">
      <w:start w:val="1"/>
      <w:numFmt w:val="bullet"/>
      <w:lvlText w:val=""/>
      <w:lvlJc w:val="start"/>
      <w:pPr>
        <w:tabs>
          <w:tab w:val="num" w:pos="0"/>
        </w:tabs>
        <w:ind w:start="5040" w:hanging="360"/>
      </w:pPr>
      <w:rPr>
        <w:rFonts w:ascii="Wingdings" w:hAnsi="Wingdings" w:cs="Wingdings" w:hint="default"/>
        <w:u w:val="none"/>
      </w:rPr>
    </w:lvl>
    <w:lvl w:ilvl="7">
      <w:start w:val="1"/>
      <w:numFmt w:val="bullet"/>
      <w:lvlText w:val=""/>
      <w:lvlJc w:val="start"/>
      <w:pPr>
        <w:tabs>
          <w:tab w:val="num" w:pos="0"/>
        </w:tabs>
        <w:ind w:start="5760" w:hanging="360"/>
      </w:pPr>
      <w:rPr>
        <w:rFonts w:ascii="Wingdings 2" w:hAnsi="Wingdings 2" w:cs="Wingdings 2" w:hint="default"/>
        <w:u w:val="none"/>
      </w:rPr>
    </w:lvl>
    <w:lvl w:ilvl="8">
      <w:start w:val="1"/>
      <w:numFmt w:val="bullet"/>
      <w:lvlText w:val="■"/>
      <w:lvlJc w:val="start"/>
      <w:pPr>
        <w:tabs>
          <w:tab w:val="num" w:pos="0"/>
        </w:tabs>
        <w:ind w:start="6480" w:hanging="360"/>
      </w:pPr>
      <w:rPr>
        <w:rFonts w:ascii="OpenSymbol" w:hAnsi="OpenSymbol" w:cs="OpenSymbol" w:hint="default"/>
        <w:u w:val="none"/>
      </w:rPr>
    </w:lvl>
  </w:abstractNum>
  <w:abstractNum w:abstractNumId="33">
    <w:lvl w:ilvl="0">
      <w:start w:val="1"/>
      <w:numFmt w:val="bullet"/>
      <w:lvlText w:val=""/>
      <w:lvlJc w:val="start"/>
      <w:pPr>
        <w:tabs>
          <w:tab w:val="num" w:pos="0"/>
        </w:tabs>
        <w:ind w:start="720" w:hanging="360"/>
      </w:pPr>
      <w:rPr>
        <w:rFonts w:ascii="Wingdings" w:hAnsi="Wingdings" w:cs="Wingdings" w:hint="default"/>
        <w:u w:val="none"/>
      </w:rPr>
    </w:lvl>
    <w:lvl w:ilvl="1">
      <w:start w:val="1"/>
      <w:numFmt w:val="bullet"/>
      <w:lvlText w:val=""/>
      <w:lvlJc w:val="start"/>
      <w:pPr>
        <w:tabs>
          <w:tab w:val="num" w:pos="0"/>
        </w:tabs>
        <w:ind w:start="1440" w:hanging="360"/>
      </w:pPr>
      <w:rPr>
        <w:rFonts w:ascii="Wingdings 2" w:hAnsi="Wingdings 2" w:cs="Wingdings 2" w:hint="default"/>
        <w:u w:val="none"/>
      </w:rPr>
    </w:lvl>
    <w:lvl w:ilvl="2">
      <w:start w:val="1"/>
      <w:numFmt w:val="bullet"/>
      <w:lvlText w:val="■"/>
      <w:lvlJc w:val="start"/>
      <w:pPr>
        <w:tabs>
          <w:tab w:val="num" w:pos="0"/>
        </w:tabs>
        <w:ind w:start="2160" w:hanging="360"/>
      </w:pPr>
      <w:rPr>
        <w:rFonts w:ascii="OpenSymbol" w:hAnsi="OpenSymbol" w:cs="OpenSymbol" w:hint="default"/>
        <w:u w:val="none"/>
      </w:rPr>
    </w:lvl>
    <w:lvl w:ilvl="3">
      <w:start w:val="1"/>
      <w:numFmt w:val="bullet"/>
      <w:lvlText w:val=""/>
      <w:lvlJc w:val="start"/>
      <w:pPr>
        <w:tabs>
          <w:tab w:val="num" w:pos="0"/>
        </w:tabs>
        <w:ind w:start="2880" w:hanging="360"/>
      </w:pPr>
      <w:rPr>
        <w:rFonts w:ascii="Wingdings" w:hAnsi="Wingdings" w:cs="Wingdings" w:hint="default"/>
        <w:u w:val="none"/>
      </w:rPr>
    </w:lvl>
    <w:lvl w:ilvl="4">
      <w:start w:val="1"/>
      <w:numFmt w:val="bullet"/>
      <w:lvlText w:val=""/>
      <w:lvlJc w:val="start"/>
      <w:pPr>
        <w:tabs>
          <w:tab w:val="num" w:pos="0"/>
        </w:tabs>
        <w:ind w:start="3600" w:hanging="360"/>
      </w:pPr>
      <w:rPr>
        <w:rFonts w:ascii="Wingdings 2" w:hAnsi="Wingdings 2" w:cs="Wingdings 2" w:hint="default"/>
        <w:u w:val="none"/>
      </w:rPr>
    </w:lvl>
    <w:lvl w:ilvl="5">
      <w:start w:val="1"/>
      <w:numFmt w:val="bullet"/>
      <w:lvlText w:val="■"/>
      <w:lvlJc w:val="start"/>
      <w:pPr>
        <w:tabs>
          <w:tab w:val="num" w:pos="0"/>
        </w:tabs>
        <w:ind w:start="4320" w:hanging="360"/>
      </w:pPr>
      <w:rPr>
        <w:rFonts w:ascii="OpenSymbol" w:hAnsi="OpenSymbol" w:cs="OpenSymbol" w:hint="default"/>
        <w:u w:val="none"/>
      </w:rPr>
    </w:lvl>
    <w:lvl w:ilvl="6">
      <w:start w:val="1"/>
      <w:numFmt w:val="bullet"/>
      <w:lvlText w:val=""/>
      <w:lvlJc w:val="start"/>
      <w:pPr>
        <w:tabs>
          <w:tab w:val="num" w:pos="0"/>
        </w:tabs>
        <w:ind w:start="5040" w:hanging="360"/>
      </w:pPr>
      <w:rPr>
        <w:rFonts w:ascii="Wingdings" w:hAnsi="Wingdings" w:cs="Wingdings" w:hint="default"/>
        <w:u w:val="none"/>
      </w:rPr>
    </w:lvl>
    <w:lvl w:ilvl="7">
      <w:start w:val="1"/>
      <w:numFmt w:val="bullet"/>
      <w:lvlText w:val=""/>
      <w:lvlJc w:val="start"/>
      <w:pPr>
        <w:tabs>
          <w:tab w:val="num" w:pos="0"/>
        </w:tabs>
        <w:ind w:start="5760" w:hanging="360"/>
      </w:pPr>
      <w:rPr>
        <w:rFonts w:ascii="Wingdings 2" w:hAnsi="Wingdings 2" w:cs="Wingdings 2" w:hint="default"/>
        <w:u w:val="none"/>
      </w:rPr>
    </w:lvl>
    <w:lvl w:ilvl="8">
      <w:start w:val="1"/>
      <w:numFmt w:val="bullet"/>
      <w:lvlText w:val="■"/>
      <w:lvlJc w:val="start"/>
      <w:pPr>
        <w:tabs>
          <w:tab w:val="num" w:pos="0"/>
        </w:tabs>
        <w:ind w:start="6480" w:hanging="360"/>
      </w:pPr>
      <w:rPr>
        <w:rFonts w:ascii="OpenSymbol" w:hAnsi="OpenSymbol" w:cs="OpenSymbol" w:hint="default"/>
        <w:u w:val="none"/>
      </w:rPr>
    </w:lvl>
  </w:abstractNum>
  <w:abstractNum w:abstractNumId="34">
    <w:lvl w:ilvl="0">
      <w:start w:val="1"/>
      <w:numFmt w:val="bullet"/>
      <w:lvlText w:val=""/>
      <w:lvlJc w:val="start"/>
      <w:pPr>
        <w:tabs>
          <w:tab w:val="num" w:pos="0"/>
        </w:tabs>
        <w:ind w:start="720" w:hanging="360"/>
      </w:pPr>
      <w:rPr>
        <w:rFonts w:ascii="Wingdings" w:hAnsi="Wingdings" w:cs="Wingdings" w:hint="default"/>
        <w:u w:val="none"/>
      </w:rPr>
    </w:lvl>
    <w:lvl w:ilvl="1">
      <w:start w:val="1"/>
      <w:numFmt w:val="bullet"/>
      <w:lvlText w:val=""/>
      <w:lvlJc w:val="start"/>
      <w:pPr>
        <w:tabs>
          <w:tab w:val="num" w:pos="0"/>
        </w:tabs>
        <w:ind w:start="1440" w:hanging="360"/>
      </w:pPr>
      <w:rPr>
        <w:rFonts w:ascii="Wingdings 2" w:hAnsi="Wingdings 2" w:cs="Wingdings 2" w:hint="default"/>
        <w:u w:val="none"/>
      </w:rPr>
    </w:lvl>
    <w:lvl w:ilvl="2">
      <w:start w:val="1"/>
      <w:numFmt w:val="bullet"/>
      <w:lvlText w:val="■"/>
      <w:lvlJc w:val="start"/>
      <w:pPr>
        <w:tabs>
          <w:tab w:val="num" w:pos="0"/>
        </w:tabs>
        <w:ind w:start="2160" w:hanging="360"/>
      </w:pPr>
      <w:rPr>
        <w:rFonts w:ascii="OpenSymbol" w:hAnsi="OpenSymbol" w:cs="OpenSymbol" w:hint="default"/>
        <w:u w:val="none"/>
      </w:rPr>
    </w:lvl>
    <w:lvl w:ilvl="3">
      <w:start w:val="1"/>
      <w:numFmt w:val="bullet"/>
      <w:lvlText w:val=""/>
      <w:lvlJc w:val="start"/>
      <w:pPr>
        <w:tabs>
          <w:tab w:val="num" w:pos="0"/>
        </w:tabs>
        <w:ind w:start="2880" w:hanging="360"/>
      </w:pPr>
      <w:rPr>
        <w:rFonts w:ascii="Wingdings" w:hAnsi="Wingdings" w:cs="Wingdings" w:hint="default"/>
        <w:u w:val="none"/>
      </w:rPr>
    </w:lvl>
    <w:lvl w:ilvl="4">
      <w:start w:val="1"/>
      <w:numFmt w:val="bullet"/>
      <w:lvlText w:val=""/>
      <w:lvlJc w:val="start"/>
      <w:pPr>
        <w:tabs>
          <w:tab w:val="num" w:pos="0"/>
        </w:tabs>
        <w:ind w:start="3600" w:hanging="360"/>
      </w:pPr>
      <w:rPr>
        <w:rFonts w:ascii="Wingdings 2" w:hAnsi="Wingdings 2" w:cs="Wingdings 2" w:hint="default"/>
        <w:u w:val="none"/>
      </w:rPr>
    </w:lvl>
    <w:lvl w:ilvl="5">
      <w:start w:val="1"/>
      <w:numFmt w:val="bullet"/>
      <w:lvlText w:val="■"/>
      <w:lvlJc w:val="start"/>
      <w:pPr>
        <w:tabs>
          <w:tab w:val="num" w:pos="0"/>
        </w:tabs>
        <w:ind w:start="4320" w:hanging="360"/>
      </w:pPr>
      <w:rPr>
        <w:rFonts w:ascii="OpenSymbol" w:hAnsi="OpenSymbol" w:cs="OpenSymbol" w:hint="default"/>
        <w:u w:val="none"/>
      </w:rPr>
    </w:lvl>
    <w:lvl w:ilvl="6">
      <w:start w:val="1"/>
      <w:numFmt w:val="bullet"/>
      <w:lvlText w:val=""/>
      <w:lvlJc w:val="start"/>
      <w:pPr>
        <w:tabs>
          <w:tab w:val="num" w:pos="0"/>
        </w:tabs>
        <w:ind w:start="5040" w:hanging="360"/>
      </w:pPr>
      <w:rPr>
        <w:rFonts w:ascii="Wingdings" w:hAnsi="Wingdings" w:cs="Wingdings" w:hint="default"/>
        <w:u w:val="none"/>
      </w:rPr>
    </w:lvl>
    <w:lvl w:ilvl="7">
      <w:start w:val="1"/>
      <w:numFmt w:val="bullet"/>
      <w:lvlText w:val=""/>
      <w:lvlJc w:val="start"/>
      <w:pPr>
        <w:tabs>
          <w:tab w:val="num" w:pos="0"/>
        </w:tabs>
        <w:ind w:start="5760" w:hanging="360"/>
      </w:pPr>
      <w:rPr>
        <w:rFonts w:ascii="Wingdings 2" w:hAnsi="Wingdings 2" w:cs="Wingdings 2" w:hint="default"/>
        <w:u w:val="none"/>
      </w:rPr>
    </w:lvl>
    <w:lvl w:ilvl="8">
      <w:start w:val="1"/>
      <w:numFmt w:val="bullet"/>
      <w:lvlText w:val="■"/>
      <w:lvlJc w:val="start"/>
      <w:pPr>
        <w:tabs>
          <w:tab w:val="num" w:pos="0"/>
        </w:tabs>
        <w:ind w:start="6480" w:hanging="360"/>
      </w:pPr>
      <w:rPr>
        <w:rFonts w:ascii="OpenSymbol" w:hAnsi="OpenSymbol" w:cs="OpenSymbol" w:hint="default"/>
        <w:u w:val="none"/>
      </w:rPr>
    </w:lvl>
  </w:abstractNum>
  <w:abstractNum w:abstractNumId="35">
    <w:lvl w:ilvl="0">
      <w:start w:val="1"/>
      <w:numFmt w:val="bullet"/>
      <w:lvlText w:val=""/>
      <w:lvlJc w:val="start"/>
      <w:pPr>
        <w:tabs>
          <w:tab w:val="num" w:pos="0"/>
        </w:tabs>
        <w:ind w:start="720" w:hanging="360"/>
      </w:pPr>
      <w:rPr>
        <w:rFonts w:ascii="Wingdings" w:hAnsi="Wingdings" w:cs="Wingdings" w:hint="default"/>
        <w:u w:val="none"/>
      </w:rPr>
    </w:lvl>
    <w:lvl w:ilvl="1">
      <w:start w:val="1"/>
      <w:numFmt w:val="bullet"/>
      <w:lvlText w:val=""/>
      <w:lvlJc w:val="start"/>
      <w:pPr>
        <w:tabs>
          <w:tab w:val="num" w:pos="0"/>
        </w:tabs>
        <w:ind w:start="1440" w:hanging="360"/>
      </w:pPr>
      <w:rPr>
        <w:rFonts w:ascii="Wingdings 2" w:hAnsi="Wingdings 2" w:cs="Wingdings 2" w:hint="default"/>
        <w:u w:val="none"/>
      </w:rPr>
    </w:lvl>
    <w:lvl w:ilvl="2">
      <w:start w:val="1"/>
      <w:numFmt w:val="bullet"/>
      <w:lvlText w:val="■"/>
      <w:lvlJc w:val="start"/>
      <w:pPr>
        <w:tabs>
          <w:tab w:val="num" w:pos="0"/>
        </w:tabs>
        <w:ind w:start="2160" w:hanging="360"/>
      </w:pPr>
      <w:rPr>
        <w:rFonts w:ascii="OpenSymbol" w:hAnsi="OpenSymbol" w:cs="OpenSymbol" w:hint="default"/>
        <w:u w:val="none"/>
      </w:rPr>
    </w:lvl>
    <w:lvl w:ilvl="3">
      <w:start w:val="1"/>
      <w:numFmt w:val="bullet"/>
      <w:lvlText w:val=""/>
      <w:lvlJc w:val="start"/>
      <w:pPr>
        <w:tabs>
          <w:tab w:val="num" w:pos="0"/>
        </w:tabs>
        <w:ind w:start="2880" w:hanging="360"/>
      </w:pPr>
      <w:rPr>
        <w:rFonts w:ascii="Wingdings" w:hAnsi="Wingdings" w:cs="Wingdings" w:hint="default"/>
        <w:u w:val="none"/>
      </w:rPr>
    </w:lvl>
    <w:lvl w:ilvl="4">
      <w:start w:val="1"/>
      <w:numFmt w:val="bullet"/>
      <w:lvlText w:val=""/>
      <w:lvlJc w:val="start"/>
      <w:pPr>
        <w:tabs>
          <w:tab w:val="num" w:pos="0"/>
        </w:tabs>
        <w:ind w:start="3600" w:hanging="360"/>
      </w:pPr>
      <w:rPr>
        <w:rFonts w:ascii="Wingdings 2" w:hAnsi="Wingdings 2" w:cs="Wingdings 2" w:hint="default"/>
        <w:u w:val="none"/>
      </w:rPr>
    </w:lvl>
    <w:lvl w:ilvl="5">
      <w:start w:val="1"/>
      <w:numFmt w:val="bullet"/>
      <w:lvlText w:val="■"/>
      <w:lvlJc w:val="start"/>
      <w:pPr>
        <w:tabs>
          <w:tab w:val="num" w:pos="0"/>
        </w:tabs>
        <w:ind w:start="4320" w:hanging="360"/>
      </w:pPr>
      <w:rPr>
        <w:rFonts w:ascii="OpenSymbol" w:hAnsi="OpenSymbol" w:cs="OpenSymbol" w:hint="default"/>
        <w:u w:val="none"/>
      </w:rPr>
    </w:lvl>
    <w:lvl w:ilvl="6">
      <w:start w:val="1"/>
      <w:numFmt w:val="bullet"/>
      <w:lvlText w:val=""/>
      <w:lvlJc w:val="start"/>
      <w:pPr>
        <w:tabs>
          <w:tab w:val="num" w:pos="0"/>
        </w:tabs>
        <w:ind w:start="5040" w:hanging="360"/>
      </w:pPr>
      <w:rPr>
        <w:rFonts w:ascii="Wingdings" w:hAnsi="Wingdings" w:cs="Wingdings" w:hint="default"/>
        <w:u w:val="none"/>
      </w:rPr>
    </w:lvl>
    <w:lvl w:ilvl="7">
      <w:start w:val="1"/>
      <w:numFmt w:val="bullet"/>
      <w:lvlText w:val=""/>
      <w:lvlJc w:val="start"/>
      <w:pPr>
        <w:tabs>
          <w:tab w:val="num" w:pos="0"/>
        </w:tabs>
        <w:ind w:start="5760" w:hanging="360"/>
      </w:pPr>
      <w:rPr>
        <w:rFonts w:ascii="Wingdings 2" w:hAnsi="Wingdings 2" w:cs="Wingdings 2" w:hint="default"/>
        <w:u w:val="none"/>
      </w:rPr>
    </w:lvl>
    <w:lvl w:ilvl="8">
      <w:start w:val="1"/>
      <w:numFmt w:val="bullet"/>
      <w:lvlText w:val="■"/>
      <w:lvlJc w:val="start"/>
      <w:pPr>
        <w:tabs>
          <w:tab w:val="num" w:pos="0"/>
        </w:tabs>
        <w:ind w:start="6480" w:hanging="360"/>
      </w:pPr>
      <w:rPr>
        <w:rFonts w:ascii="OpenSymbol" w:hAnsi="OpenSymbol" w:cs="OpenSymbol" w:hint="default"/>
        <w:u w:val="none"/>
      </w:rPr>
    </w:lvl>
  </w:abstractNum>
  <w:abstractNum w:abstractNumId="36">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bering>
</file>

<file path=word/settings.xml><?xml version="1.0" encoding="utf-8"?>
<w:settings xmlns:w="http://schemas.openxmlformats.org/wordprocessingml/2006/main">
  <w:zoom w:percent="160"/>
  <w:defaultTabStop w:val="709"/>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ongti SC" w:cs="Arial Unicode MS"/>
        <w:kern w:val="2"/>
        <w:sz w:val="24"/>
        <w:szCs w:val="24"/>
        <w:lang w:val="fr-CA" w:eastAsia="zh-CN" w:bidi="hi-IN"/>
      </w:rPr>
    </w:rPrDefault>
    <w:pPrDefault>
      <w:pPr>
        <w:widowControl/>
        <w:suppressAutoHyphens w:val="true"/>
      </w:pPr>
    </w:pPrDefault>
  </w:docDefaults>
  <w:style w:type="paragraph" w:styleId="Normal">
    <w:name w:val="Normal"/>
    <w:qFormat/>
    <w:pPr>
      <w:widowControl/>
      <w:bidi w:val="0"/>
    </w:pPr>
    <w:rPr>
      <w:rFonts w:ascii="Liberation Serif" w:hAnsi="Liberation Serif" w:eastAsia="Songti SC" w:cs="Arial Unicode MS"/>
      <w:color w:val="auto"/>
      <w:kern w:val="2"/>
      <w:sz w:val="24"/>
      <w:szCs w:val="24"/>
      <w:lang w:val="fr-CA" w:eastAsia="zh-CN" w:bidi="hi-IN"/>
    </w:rPr>
  </w:style>
  <w:style w:type="paragraph" w:styleId="Heading1">
    <w:name w:val="Heading 1"/>
    <w:basedOn w:val="Normal"/>
    <w:next w:val="Normal"/>
    <w:qFormat/>
    <w:pPr>
      <w:keepNext w:val="true"/>
      <w:keepLines/>
      <w:numPr>
        <w:ilvl w:val="0"/>
        <w:numId w:val="0"/>
      </w:numPr>
      <w:spacing w:before="400" w:after="120"/>
      <w:outlineLvl w:val="0"/>
    </w:pPr>
    <w:rPr>
      <w:sz w:val="40"/>
      <w:szCs w:val="40"/>
    </w:rPr>
  </w:style>
  <w:style w:type="paragraph" w:styleId="Heading2">
    <w:name w:val="Heading 2"/>
    <w:basedOn w:val="Normal"/>
    <w:next w:val="Normal"/>
    <w:qFormat/>
    <w:pPr>
      <w:keepNext w:val="true"/>
      <w:keepLines/>
      <w:numPr>
        <w:ilvl w:val="0"/>
        <w:numId w:val="0"/>
      </w:numPr>
      <w:spacing w:before="360" w:after="120"/>
      <w:outlineLvl w:val="1"/>
    </w:pPr>
    <w:rPr>
      <w:sz w:val="32"/>
      <w:szCs w:val="32"/>
    </w:rPr>
  </w:style>
  <w:style w:type="paragraph" w:styleId="Heading3">
    <w:name w:val="Heading 3"/>
    <w:basedOn w:val="Normal"/>
    <w:next w:val="Normal"/>
    <w:qFormat/>
    <w:pPr>
      <w:keepNext w:val="true"/>
      <w:keepLines/>
      <w:numPr>
        <w:ilvl w:val="0"/>
        <w:numId w:val="0"/>
      </w:numPr>
      <w:spacing w:before="320" w:after="80"/>
      <w:outlineLvl w:val="2"/>
    </w:pPr>
    <w:rPr>
      <w:color w:val="434343"/>
      <w:sz w:val="28"/>
      <w:szCs w:val="28"/>
    </w:rPr>
  </w:style>
  <w:style w:type="paragraph" w:styleId="Heading4">
    <w:name w:val="Heading 4"/>
    <w:basedOn w:val="Normal"/>
    <w:next w:val="Normal"/>
    <w:qFormat/>
    <w:pPr>
      <w:keepNext w:val="true"/>
      <w:keepLines/>
      <w:numPr>
        <w:ilvl w:val="0"/>
        <w:numId w:val="0"/>
      </w:numPr>
      <w:spacing w:before="280" w:after="80"/>
      <w:outlineLvl w:val="3"/>
    </w:pPr>
    <w:rPr>
      <w:color w:val="666666"/>
      <w:sz w:val="24"/>
      <w:szCs w:val="24"/>
    </w:rPr>
  </w:style>
  <w:style w:type="character" w:styleId="Hyperlink">
    <w:name w:val="Hyperlink"/>
    <w:rPr>
      <w:color w:val="000080"/>
      <w:u w:val="single"/>
    </w:rPr>
  </w:style>
  <w:style w:type="character" w:styleId="IndexLink">
    <w:name w:val="Index Link"/>
    <w:qFormat/>
    <w:rPr/>
  </w:style>
  <w:style w:type="paragraph" w:styleId="Heading">
    <w:name w:val="Heading"/>
    <w:basedOn w:val="Normal"/>
    <w:next w:val="BodyText"/>
    <w:qFormat/>
    <w:pPr>
      <w:keepNext w:val="true"/>
      <w:spacing w:before="240" w:after="120"/>
    </w:pPr>
    <w:rPr>
      <w:rFonts w:ascii="Liberation Sans" w:hAnsi="Liberation Sans" w:eastAsia="PingFang SC" w:cs="Arial Unicode M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Unicode MS"/>
    </w:rPr>
  </w:style>
  <w:style w:type="paragraph" w:styleId="Caption">
    <w:name w:val="Caption"/>
    <w:basedOn w:val="Normal"/>
    <w:qFormat/>
    <w:pPr>
      <w:suppressLineNumbers/>
      <w:spacing w:before="120" w:after="120"/>
    </w:pPr>
    <w:rPr>
      <w:rFonts w:cs="Arial Unicode MS"/>
      <w:i/>
      <w:iCs/>
      <w:sz w:val="24"/>
      <w:szCs w:val="24"/>
    </w:rPr>
  </w:style>
  <w:style w:type="paragraph" w:styleId="Index">
    <w:name w:val="Index"/>
    <w:basedOn w:val="Normal"/>
    <w:qFormat/>
    <w:pPr>
      <w:suppressLineNumbers/>
    </w:pPr>
    <w:rPr>
      <w:rFonts w:cs="Arial Unicode MS"/>
    </w:rPr>
  </w:style>
  <w:style w:type="paragraph" w:styleId="TOCHeading">
    <w:name w:val="TOC Heading"/>
    <w:basedOn w:val="Heading1"/>
    <w:next w:val="Normal"/>
    <w:qFormat/>
    <w:pPr>
      <w:spacing w:lineRule="auto" w:line="259" w:before="240" w:after="0"/>
      <w:outlineLvl w:val="9"/>
    </w:pPr>
    <w:rPr>
      <w:rFonts w:ascii="Calibri" w:hAnsi="Calibri" w:eastAsia="Arial" w:cs="Arial"/>
      <w:color w:themeColor="accent1" w:themeShade="bf" w:val="365F91"/>
      <w:sz w:val="32"/>
      <w:szCs w:val="32"/>
      <w:lang w:val="fr-CA"/>
    </w:rPr>
  </w:style>
  <w:style w:type="paragraph" w:styleId="TOC1">
    <w:name w:val="TOC 1"/>
    <w:basedOn w:val="Normal"/>
    <w:next w:val="Normal"/>
    <w:pPr>
      <w:spacing w:before="0" w:after="100"/>
    </w:pPr>
    <w:rPr/>
  </w:style>
  <w:style w:type="paragraph" w:styleId="TOC2">
    <w:name w:val="TOC 2"/>
    <w:basedOn w:val="Normal"/>
    <w:next w:val="Normal"/>
    <w:pPr>
      <w:spacing w:before="0" w:after="100"/>
      <w:ind w:start="220"/>
    </w:pPr>
    <w:rPr/>
  </w:style>
  <w:style w:type="paragraph" w:styleId="TOC3">
    <w:name w:val="TOC 3"/>
    <w:basedOn w:val="Normal"/>
    <w:next w:val="Normal"/>
    <w:pPr>
      <w:spacing w:before="0" w:after="100"/>
      <w:ind w:start="440"/>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png"/><Relationship Id="rId6" Type="http://schemas.openxmlformats.org/officeDocument/2006/relationships/hyperlink" Target="https://www.espaceobnl.ca/fr/telechargements/78-bonnes-pratiques-gouvernance-obnl" TargetMode="External"/><Relationship Id="rId7" Type="http://schemas.openxmlformats.org/officeDocument/2006/relationships/hyperlink" Target="https://benevoles-expertise.com/fiches-gouvernance-obnl/" TargetMode="External"/><Relationship Id="rId8" Type="http://schemas.openxmlformats.org/officeDocument/2006/relationships/image" Target="media/image5.png"/><Relationship Id="rId9" Type="http://schemas.openxmlformats.org/officeDocument/2006/relationships/hyperlink" Target="https://rapliq.org/?utm_source=chatgpt.com" TargetMode="External"/><Relationship Id="rId10" Type="http://schemas.openxmlformats.org/officeDocument/2006/relationships/hyperlink" Target="https://www.cdpdj.qc.ca/fr/actualites/declaration-soutien-domicile-handicap" TargetMode="External"/><Relationship Id="rId11" Type="http://schemas.openxmlformats.org/officeDocument/2006/relationships/hyperlink" Target="https://spgq.qc.ca/?utm_source=chatgpt.com" TargetMode="External"/><Relationship Id="rId12" Type="http://schemas.openxmlformats.org/officeDocument/2006/relationships/hyperlink" Target="https://spgq.qc.ca/?utm_source=chatgpt.com" TargetMode="External"/><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numbering" Target="numbering.xml"/><Relationship Id="rId25" Type="http://schemas.openxmlformats.org/officeDocument/2006/relationships/fontTable" Target="fontTable.xml"/><Relationship Id="rId26" Type="http://schemas.openxmlformats.org/officeDocument/2006/relationships/settings" Target="settings.xml"/><Relationship Id="rId27"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3</TotalTime>
  <Application>LibreOffice/24.2.5.2$MacOSX_X86_64 LibreOffice_project/bffef4ea93e59bebbeaf7f431bb02b1a39ee8a59</Application>
  <AppVersion>15.0000</AppVersion>
  <Pages>42</Pages>
  <Words>8425</Words>
  <Characters>49829</Characters>
  <CharactersWithSpaces>57608</CharactersWithSpaces>
  <Paragraphs>599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2026-06-09T13:25:48Z</dcterms:created>
  <dc:creator/>
  <dc:description/>
  <dc:language>fr-CA</dc:language>
  <cp:lastModifiedBy/>
  <dcterms:modified xsi:type="dcterms:W3CDTF">2026-06-09T13:40:51Z</dcterms:modified>
  <cp:revision>1</cp:revision>
  <dc:subject/>
  <dc:title/>
</cp:coreProperties>
</file>